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53" w:rsidRDefault="002937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3753" w:rsidRDefault="00293753">
      <w:pPr>
        <w:pStyle w:val="ConsPlusNormal"/>
        <w:ind w:firstLine="540"/>
        <w:jc w:val="both"/>
        <w:outlineLvl w:val="0"/>
      </w:pPr>
    </w:p>
    <w:p w:rsidR="00293753" w:rsidRDefault="00293753">
      <w:pPr>
        <w:pStyle w:val="ConsPlusTitle"/>
        <w:jc w:val="center"/>
        <w:outlineLvl w:val="0"/>
      </w:pPr>
      <w:r>
        <w:t>АДМИНИСТРАЦИЯ НЕНЕЦКОГО АВТОНОМНОГО ОКРУГА</w:t>
      </w:r>
    </w:p>
    <w:p w:rsidR="00293753" w:rsidRDefault="00293753">
      <w:pPr>
        <w:pStyle w:val="ConsPlusTitle"/>
        <w:jc w:val="center"/>
      </w:pPr>
    </w:p>
    <w:p w:rsidR="00293753" w:rsidRDefault="00293753">
      <w:pPr>
        <w:pStyle w:val="ConsPlusTitle"/>
        <w:jc w:val="center"/>
      </w:pPr>
      <w:r>
        <w:t>ПОСТАНОВЛЕНИЕ</w:t>
      </w:r>
    </w:p>
    <w:p w:rsidR="00293753" w:rsidRDefault="00293753">
      <w:pPr>
        <w:pStyle w:val="ConsPlusTitle"/>
        <w:jc w:val="center"/>
      </w:pPr>
      <w:r>
        <w:t>от 7 апреля 2017 г. N 114-п</w:t>
      </w:r>
    </w:p>
    <w:p w:rsidR="00293753" w:rsidRDefault="00293753">
      <w:pPr>
        <w:pStyle w:val="ConsPlusTitle"/>
        <w:jc w:val="center"/>
      </w:pPr>
    </w:p>
    <w:p w:rsidR="00293753" w:rsidRDefault="00293753">
      <w:pPr>
        <w:pStyle w:val="ConsPlusTitle"/>
        <w:jc w:val="center"/>
      </w:pPr>
      <w:r>
        <w:t>ОБ УТВЕРЖДЕНИИ ГОСУДАРСТВЕННОЙ ПРОГРАММЫ НЕНЕЦКОГО</w:t>
      </w:r>
    </w:p>
    <w:p w:rsidR="00293753" w:rsidRDefault="00293753">
      <w:pPr>
        <w:pStyle w:val="ConsPlusTitle"/>
        <w:jc w:val="center"/>
      </w:pPr>
      <w:r>
        <w:t>АВТОНОМНОГО ОКРУГА "РАЗВИТИЕ ФИЗИЧЕСКОЙ КУЛЬТУРЫ И СПОРТА</w:t>
      </w:r>
    </w:p>
    <w:p w:rsidR="00293753" w:rsidRDefault="00293753">
      <w:pPr>
        <w:pStyle w:val="ConsPlusTitle"/>
        <w:jc w:val="center"/>
      </w:pPr>
      <w:r>
        <w:t>В НЕНЕЦКОМ АВТОНОМНОМ ОКРУГЕ"</w:t>
      </w:r>
    </w:p>
    <w:p w:rsidR="00293753" w:rsidRDefault="002937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37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НАО от 12.02.2018 </w:t>
            </w:r>
            <w:hyperlink r:id="rId5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>,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11.05.2018 </w:t>
            </w:r>
            <w:hyperlink r:id="rId6">
              <w:r>
                <w:rPr>
                  <w:color w:val="0000FF"/>
                </w:rPr>
                <w:t>N 100-п</w:t>
              </w:r>
            </w:hyperlink>
            <w:r>
              <w:rPr>
                <w:color w:val="392C69"/>
              </w:rPr>
              <w:t xml:space="preserve">, от 01.10.2018 </w:t>
            </w:r>
            <w:hyperlink r:id="rId7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20.12.2018 </w:t>
            </w:r>
            <w:hyperlink r:id="rId8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>,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9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15.04.2020 </w:t>
            </w:r>
            <w:hyperlink r:id="rId10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 xml:space="preserve">, от 31.03.2021 </w:t>
            </w:r>
            <w:hyperlink r:id="rId11">
              <w:r>
                <w:rPr>
                  <w:color w:val="0000FF"/>
                </w:rPr>
                <w:t>N 96-п</w:t>
              </w:r>
            </w:hyperlink>
            <w:r>
              <w:rPr>
                <w:color w:val="392C69"/>
              </w:rPr>
              <w:t>,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12">
              <w:r>
                <w:rPr>
                  <w:color w:val="0000FF"/>
                </w:rPr>
                <w:t>N 116-п</w:t>
              </w:r>
            </w:hyperlink>
            <w:r>
              <w:rPr>
                <w:color w:val="392C69"/>
              </w:rPr>
              <w:t xml:space="preserve">, от 21.03.2023 </w:t>
            </w:r>
            <w:hyperlink r:id="rId13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14.06.2023 </w:t>
            </w:r>
            <w:hyperlink r:id="rId14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>,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29.03.2024 </w:t>
            </w:r>
            <w:hyperlink r:id="rId15">
              <w:r>
                <w:rPr>
                  <w:color w:val="0000FF"/>
                </w:rPr>
                <w:t>N 72-п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</w:tr>
    </w:tbl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01.08.2023 N 225-п "Об утверждении Порядка разработки, реализации и оценки эффективности государственных программ Ненецкого автономного округа" Администрация Ненецкого автономного округа постановляет:</w:t>
      </w:r>
    </w:p>
    <w:p w:rsidR="00293753" w:rsidRDefault="0029375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НАО от 29.03.2024 N 72-п)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1)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22.10.2014 N 400-п "Об утверждении государственной программы Ненецкого автономного округа "Развитие физической культуры, спорта и дополнительного образования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2)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21.10.2015 N 338-п "О внесении изменений в государственную программу Ненецкого автономного округа "Развитие физической культуры, спорта и дополнительного образования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3)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20.04.2016 N 123-п "О внесении изменений в государственную программу Ненецкого автономного округа "Развитие физической культуры, спорта и дополнительного образования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4)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01.06.2016 N 173-п "О внесении изменений в государственную программу Ненецкого автономного округа "Развитие физической культуры, спорта и дополнительного образования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5)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19.07.2016 N 231-п "О внесении изменений в государственную программу Ненецкого автономного округа "Развитие физической культуры, спорта и дополнительного образования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6)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14.02.2017 N 39-п "О внесении изменений в государственную программу Ненецкого автономного округа "Развитие физической культуры, спорта и дополнительного образования в Ненецком автономном округе".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2. Утвердить государственную </w:t>
      </w:r>
      <w:hyperlink w:anchor="P47">
        <w:r>
          <w:rPr>
            <w:color w:val="0000FF"/>
          </w:rPr>
          <w:t>программу</w:t>
        </w:r>
      </w:hyperlink>
      <w:r>
        <w:t xml:space="preserve"> Ненецкого автономного округа "Развитие физической культуры и спорта в Ненецком автономном округе" согласно Приложению.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jc w:val="right"/>
      </w:pPr>
      <w:r>
        <w:t>Первый заместитель губернатора</w:t>
      </w:r>
    </w:p>
    <w:p w:rsidR="00293753" w:rsidRDefault="00293753">
      <w:pPr>
        <w:pStyle w:val="ConsPlusNormal"/>
        <w:jc w:val="right"/>
      </w:pPr>
      <w:r>
        <w:t>Ненецкого автономного округа -</w:t>
      </w:r>
    </w:p>
    <w:p w:rsidR="00293753" w:rsidRDefault="00293753">
      <w:pPr>
        <w:pStyle w:val="ConsPlusNormal"/>
        <w:jc w:val="right"/>
      </w:pPr>
      <w:r>
        <w:t>руководитель Аппарата Администрации</w:t>
      </w:r>
    </w:p>
    <w:p w:rsidR="00293753" w:rsidRDefault="00293753">
      <w:pPr>
        <w:pStyle w:val="ConsPlusNormal"/>
        <w:jc w:val="right"/>
      </w:pPr>
      <w:r>
        <w:t>Ненецкого автономного округа</w:t>
      </w:r>
    </w:p>
    <w:p w:rsidR="00293753" w:rsidRDefault="00293753">
      <w:pPr>
        <w:pStyle w:val="ConsPlusNormal"/>
        <w:jc w:val="right"/>
      </w:pPr>
      <w:r>
        <w:t>М.В.ВАСИЛЬЕВ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jc w:val="right"/>
        <w:outlineLvl w:val="0"/>
      </w:pPr>
      <w:r>
        <w:t>Приложение</w:t>
      </w:r>
    </w:p>
    <w:p w:rsidR="00293753" w:rsidRDefault="00293753">
      <w:pPr>
        <w:pStyle w:val="ConsPlusNormal"/>
        <w:jc w:val="right"/>
      </w:pPr>
      <w:r>
        <w:t>к постановлению Администрации</w:t>
      </w:r>
    </w:p>
    <w:p w:rsidR="00293753" w:rsidRDefault="00293753">
      <w:pPr>
        <w:pStyle w:val="ConsPlusNormal"/>
        <w:jc w:val="right"/>
      </w:pPr>
      <w:r>
        <w:t>Ненецкого автономного округа</w:t>
      </w:r>
    </w:p>
    <w:p w:rsidR="00293753" w:rsidRDefault="00293753">
      <w:pPr>
        <w:pStyle w:val="ConsPlusNormal"/>
        <w:jc w:val="right"/>
      </w:pPr>
      <w:r>
        <w:t>от 07.04.2017 N 114-п</w:t>
      </w:r>
    </w:p>
    <w:p w:rsidR="00293753" w:rsidRDefault="00293753">
      <w:pPr>
        <w:pStyle w:val="ConsPlusNormal"/>
        <w:jc w:val="right"/>
      </w:pPr>
      <w:r>
        <w:t>"Об утверждении государственной</w:t>
      </w:r>
    </w:p>
    <w:p w:rsidR="00293753" w:rsidRDefault="00293753">
      <w:pPr>
        <w:pStyle w:val="ConsPlusNormal"/>
        <w:jc w:val="right"/>
      </w:pPr>
      <w:r>
        <w:t>программы Ненецкого автономного округа</w:t>
      </w:r>
    </w:p>
    <w:p w:rsidR="00293753" w:rsidRDefault="00293753">
      <w:pPr>
        <w:pStyle w:val="ConsPlusNormal"/>
        <w:jc w:val="right"/>
      </w:pPr>
      <w:r>
        <w:t>"Развитие физической культуры и спорта</w:t>
      </w:r>
    </w:p>
    <w:p w:rsidR="00293753" w:rsidRDefault="00293753">
      <w:pPr>
        <w:pStyle w:val="ConsPlusNormal"/>
        <w:jc w:val="right"/>
      </w:pPr>
      <w:r>
        <w:t>в Ненецком автономном округе"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Title"/>
        <w:jc w:val="center"/>
      </w:pPr>
      <w:bookmarkStart w:id="0" w:name="P47"/>
      <w:bookmarkEnd w:id="0"/>
      <w:r>
        <w:t>ГОСУДАРСТВЕННАЯ ПРОГРАММА</w:t>
      </w:r>
    </w:p>
    <w:p w:rsidR="00293753" w:rsidRDefault="00293753">
      <w:pPr>
        <w:pStyle w:val="ConsPlusTitle"/>
        <w:jc w:val="center"/>
      </w:pPr>
      <w:r>
        <w:t>НЕНЕЦКОГО АВТОНОМНОГО ОКРУГА "РАЗВИТИЕ ФИЗИЧЕСКОЙ КУЛЬТУРЫ</w:t>
      </w:r>
    </w:p>
    <w:p w:rsidR="00293753" w:rsidRDefault="00293753">
      <w:pPr>
        <w:pStyle w:val="ConsPlusTitle"/>
        <w:jc w:val="center"/>
      </w:pPr>
      <w:r>
        <w:t>И СПОРТА В НЕНЕЦКОМ АВТОНОМНОМ ОКРУГЕ"</w:t>
      </w:r>
    </w:p>
    <w:p w:rsidR="00293753" w:rsidRDefault="002937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37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3753" w:rsidRDefault="002937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29.03.2024 N 72-п)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753" w:rsidRDefault="00293753">
            <w:pPr>
              <w:pStyle w:val="ConsPlusNormal"/>
            </w:pPr>
          </w:p>
        </w:tc>
      </w:tr>
    </w:tbl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Title"/>
        <w:jc w:val="center"/>
        <w:outlineLvl w:val="1"/>
      </w:pPr>
      <w:r>
        <w:t>Раздел I</w:t>
      </w:r>
    </w:p>
    <w:p w:rsidR="00293753" w:rsidRDefault="00293753">
      <w:pPr>
        <w:pStyle w:val="ConsPlusTitle"/>
        <w:jc w:val="center"/>
      </w:pPr>
      <w:r>
        <w:t>Общие положения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 xml:space="preserve">1. Государственная программа Ненецкого автономного округа "Развитие физической культуры и спорта в Ненецком автономном округе" (далее - Программа) разработана в соответствии со </w:t>
      </w:r>
      <w:hyperlink r:id="rId25">
        <w:r>
          <w:rPr>
            <w:color w:val="0000FF"/>
          </w:rPr>
          <w:t>Стратегией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N 3081-р, государственной </w:t>
      </w:r>
      <w:hyperlink r:id="rId26">
        <w:r>
          <w:rPr>
            <w:color w:val="0000FF"/>
          </w:rPr>
          <w:t>программой</w:t>
        </w:r>
      </w:hyperlink>
      <w:r>
        <w:t xml:space="preserve"> Российской Федерации "Развитие физической культуры и спорта", утвержденной постановлением Правительства Российской Федерации от 30.09.2021 N 1661, постановлением Администрации Ненецкого автономного округа от 01.08.2023 N 225-п "Об утверждении Порядка разработки, реализации и оценки эффективности государственных программ Ненецкого автономного округа".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2. Срок реализации Программы с 2017 по 2030 годы.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3. Ответственный исполнитель Программы - Департамент образования, культуры и спорта Ненецкого автономного округа.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Title"/>
        <w:jc w:val="center"/>
        <w:outlineLvl w:val="1"/>
      </w:pPr>
      <w:r>
        <w:t>Раздел II</w:t>
      </w:r>
    </w:p>
    <w:p w:rsidR="00293753" w:rsidRDefault="00293753">
      <w:pPr>
        <w:pStyle w:val="ConsPlusTitle"/>
        <w:jc w:val="center"/>
      </w:pPr>
      <w:r>
        <w:t>Стратегические приоритеты в сфере реализации Программы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  <w:outlineLvl w:val="2"/>
      </w:pPr>
      <w:r>
        <w:t>Глава 1. Оценка текущего состояния сферы физической культуры и спорта в Ненецким автономном округе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>4. Государственное управление физической культурой и спортом в Ненецком автономном округе регулируется: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lastRenderedPageBreak/>
        <w:t xml:space="preserve">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Указом</w:t>
        </w:r>
      </w:hyperlink>
      <w:r>
        <w:t xml:space="preserve"> Президента Российской Федерации от 24.03.2014 N 172 "О Всероссийском физкультурно-спортивном комплексе "Готов к труду и обороне" (ГТО)";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Стратегией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N 3081-р;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30.09.2021 N 1661 "Об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законом</w:t>
        </w:r>
      </w:hyperlink>
      <w:r>
        <w:t xml:space="preserve"> Ненецкого автономного округа от 08.12.2014 N 21-ОЗ "О физической культуре и спорте в Ненецком автономном округе";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05.11.2015 N 352-п "Об утверждении норм расходов средств окружного бюджета на проведение физкультурных мероприятий и спортивных мероприятий, включенных в Календарный план физкультурных мероприятий и спортивных мероприятий Ненецкого автономного округа";</w:t>
      </w:r>
    </w:p>
    <w:p w:rsidR="00293753" w:rsidRDefault="00293753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17.04.2015 N 110-п "Об утверждении Положения о порядке назначения, выплаты и размере единовременного денежного вознаграждения спортсменам и тренерам Ненецкого автономного округа за высокие спортивные результаты".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5. В период реализации Программы в 2017 - 2023 годах проведен ряд мероприятий, направленных на развитие физической культуры и спорта в Ненецком автономном округе, с учетом перераспределения на региональный уровень полномочий в соответствии с </w:t>
      </w:r>
      <w:hyperlink r:id="rId36">
        <w:r>
          <w:rPr>
            <w:color w:val="0000FF"/>
          </w:rPr>
          <w:t>законом</w:t>
        </w:r>
      </w:hyperlink>
      <w:r>
        <w:t xml:space="preserve"> Ненецкого автономного округа от 19.09.2014 N 95-ОЗ "О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6. В Ненецком автономном округе активно развиваются следующие виды спорта: баскетбол, бокс, волейбол, лыжные гонки, теннис, настольный теннис, пауэрлифтинг, пулевая стрельба, плаванье, северное многоборье, спортивная борьба, танцевальный спорт, тхэквондо, футбол, фигурное катание на коньках, компьютерный спорт, рыболовный спорт, хоккей, шахматы и шашки.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7. Значительное внимание уделяется поддержке деятельности региональных спортивных федераций как общественных организаций, осуществляющих развитие того или иного вида спорта. В Ненецком автономном округе статус региональной спортивной федерации имеют 11 социально ориентированных некоммерческих организаций по видам спорта: бокс, волейбол, лыжные гонки, пауэрлифтинг, пулевая стрельба, рыболовный спорт, компьютерный спорт, северное многоборье, тхэквондо, хоккей, футбол.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Поддержка спортивных федераций на региональном уровне осуществляется посредством: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создания необходимых условий для развития видов спорта;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lastRenderedPageBreak/>
        <w:t>предоставления на безвозмездной основе спортивных сооружений для проведения спортивных соревнований;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организации и проведения спортивных соревнований по различным видам спорта.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8. За счет развитой сети спортивных сооружений гражданам, проживающим в Ненецком автономном округе, обеспечена возможность систематически заниматься физической культурой и спортом. На сегодняшний день насчитывается 144 спортивных сооружения с учетом городской и рекреационной инфраструктуры, приспособленные для занятий физической культурой и спортом. В инфраструктуру спортивных объектов входят: 25-метровый плавательный бассейн, крытая ледовая арена, крытый теннисный корт, стадион с трибунами, 93 игровых зала, 38 плоскостных сооружений. Единовременная пропускная способность спортивных объектов составляет 3 893 человека.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9. В Ненецком автономном округе создана Спортивная школа олимпийского резерва "Труд" (далее - СШОР "Труд"), приоритетным направлением деятельности которой является подготовка спортивного резерва для спортивных сборных команд Ненецкого автономного округа и Российской Федерации. Проходящий спортивную подготовку в СШОР "Труд" Терентьев Александр с 2019 года включен в спортивную сборную команду Российской Федерации по лыжным гонкам. В 2022 году на XXIV Зимних Олимпийских играх в Пекине Терентьев Александр дважды стал бронзовым призером в лыжном спринте. Повышение уровня спортивного мастерства спортсменов Ненецкого автономного округа и совершенствование системы подготовки спортивного резерва в Ненецком автономном округе достигается путем реализации программ спортивной подготовки и обеспечения участия сборных команд округа в официальных соревнованиях всероссийского и международного уровней.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10. В отдельных сельских населенных пунктах Ненецкого автономного округа (п. Нельмин Нос, п. Красное, с. Коткино, с. Нижняя Пеша, с. Оксино, с. Несь) созданы физкультурно-оздоровительные комплексы (далее - ФОК), которые являются филиалами СШОР "Труд". Основной задачей ФОК является организация занятий физической культурой и спортом среди различных категорий и групп населения, а также организация и проведение спортивно-массовых мероприятий на территории поселений.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В тех населенных пунктах, где нет специализированных спортивных сооружений, граждане пользуются спортивной инфраструктурой образовательных организаций.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11. На территории Ненецкого автономного округа реализуется Всероссийский физкультурно-спортивный комплекс "Готов к труду и обороне" (ГТО) - программная и нормативная основа системы физического воспитания (далее - ВФСК ГТО).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СШОР "Труд" является региональным оператором ВФСК ГТО. В структуре учреждения создано подразделение "Центр тестирования ГТО" с выделением 3 штатных единиц, что позволяет создавать выездные бригады для принятия норм ГТО в отдаленных населенных пунктах.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12. Инвестирование в занятия граждан физической культурой и спортом является экономически эффективным вложением в развитие человеческого потенциала и улучшение качества жизни жителей Ненецкого автономного округа. Физкультура и спорт - самое эффективное средство профилактики асоциальных явлений среди населения.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13. В рамках Программы предусмотрена реализация регионального проекта Ненецкого автономного округа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14. Вместе с тем в Ненецком автономном округе сохраняется ряд проблем, требующих решения.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lastRenderedPageBreak/>
        <w:t>Среди граждан, систематически занимающихся физической культурой и спортом, преобладает городское население, преимущественно дети и молодежь в возрасте до 29 лет. Сохраняется недостаточный уровень вовлеченности населения среднего и старшего возраста в занятия физической культурой и спортом.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Сохраняется необходимость развития спортивной инфраструктуры, все более актуальной становится необходимость приведения объектов спорта в нормативное состояние.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15. Ключевыми вызовами для развития в регионе культуры и спорта являются: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1) 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2) увеличение числа граждан, нуждающихся в оздоровлении средствами физической культуры и спорта, в том числе вследствие перенесенных заболеваний, вызванных новой коронавирусной инфекцией (COVID-19);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3) возросшие требования к уровню физической подготовленности допризывной молодежи как фактору обеспечения боеготовности вооруженных сил;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4) недостаточная ресурсная обеспеченность сферы физической культуры и спорта, в том числе системы профессионального образования;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5) сокращение реально располагаемых доходов, экономия граждан на занятиях физической культурой и спортом.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16. К основным рискам реализации Программы относятся: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1) финансовые риски, связанные с отсутствием необходимого финансового обеспечения мероприятий и низкой инвестиционной привлекательностью отдельных проектов и программ;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2) рыночные риски, связанные в первую очередь с изменениями в структуре доходов граждан и падением спроса на услуги в сфере физической культуры и спорта;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3) административные риски, связанные с недостаточной эффективностью взаимодействия между исполнителями Программы.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17.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результатов и показателей Программы.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18. Реализация Программы позволит привлечь граждан Ненецкого автономного округа к систематическим занятиям физической культурой и спортом, приобщить жителей к здоровому образу жизни, что положительно скажется на качестве и продолжительности жизни населения.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  <w:outlineLvl w:val="2"/>
      </w:pPr>
      <w:r>
        <w:t>Глава 2. Приоритеты и цели государственной политики в сфере реализации Программы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 xml:space="preserve">19. Приоритетные направления государственной политики в сфере физической культуры и спорта определены в </w:t>
      </w:r>
      <w:hyperlink r:id="rId37">
        <w:r>
          <w:rPr>
            <w:color w:val="0000FF"/>
          </w:rPr>
          <w:t>Указе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</w:t>
      </w:r>
      <w:hyperlink r:id="rId38">
        <w:r>
          <w:rPr>
            <w:color w:val="0000FF"/>
          </w:rPr>
          <w:t>Указе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года", </w:t>
      </w:r>
      <w:hyperlink r:id="rId39">
        <w:r>
          <w:rPr>
            <w:color w:val="0000FF"/>
          </w:rPr>
          <w:t>Стратегии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N 3081-р, и предусматривают создание для всех категорий и групп населения условий для занятий физической культурой и массовым спортом, </w:t>
      </w:r>
      <w:r>
        <w:lastRenderedPageBreak/>
        <w:t>в том числе повышение уровня обеспеченности населения объектами спорта, а также подготовку спортивного резерва и повышение конкурентоспособности спортсменов на всероссийской спортивной арене.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В соответствии с указанными документами целями реализации приоритетных направлений развития физической культуры и спорта являются: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вовлечение граждан в регулярные занятия физической культурой и массовым спортом;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повышение уровня физической подготовленности граждан Ненецкого автономного округа;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повышение доступности объектов спорта, в том числе на сельских территориях, а также для лиц с ограниченными возможностями здоровья и инвалидов;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совершенствование системы подготовки спортивного резерва;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повышение конкурентоспособности спортсменов на всероссийской спортивной арене.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20. Целями Программы являются обеспечение возможности разным категориям граждан, проживающих в Ненецком автономном округе, систематически заниматься физической культурой, массовым спортом и совершенствование системы подготовки спортивного резерва.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21. Основным ожидаемым результатом реализации Программы является достижение устойчивого развития физической культуры и спорта в Ненецком автономном округе, характеризующегося положительной динамикой количественных показателей и высокой качественной оценкой изменений, происходящих в сфере физической культуры и спорта.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  <w:outlineLvl w:val="2"/>
      </w:pPr>
      <w:r>
        <w:t>Глава 3. Задачи государственного управления в сфере реализации Программы, способы их эффективного решения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>22. Для достижения цели Программы определены следующие задачи: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внедрить к 2030 году новую модель создания общедоступной инфраструктуры для массового спорта, способствующую привлечению негосударственного сектора в решение задач развития массового спорта, сформировать "активную среду";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создать для всех категорий и групп населения условия для занятий физической культурой и спортом (новую модель спорта);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обеспечить возможность разным категориям граждан, проживающих в Ненецком автономном округе, систематически заниматься физической культурой, массовым спортом;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повышение конкурентоспособности спортсменов на всероссийской спортивной арене.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23. Решение указанных задач обеспечивается посредством реализации мероприятий Программы, предусмотренных в региональных проектах Ненецкого автономного округа "Спорт - норма жизни", "Бизнес-спринт (Я выбираю спорт)", а также в комплексе процессных мероприятий "Развитие физической культуры, массового спорта и спорта высших достижений. Подготовка спортивного резерва".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  <w:outlineLvl w:val="2"/>
      </w:pPr>
      <w:r>
        <w:t>Глава 4. Сведения о взаимосвязи с национальными целями, государственными программами Российской Федерации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  <w:r>
        <w:t xml:space="preserve">24. Программа направлена на достижение национальной цели развития Российской Федерации на период до 2030 года "Сохранение населения, здоровье и благополучие людей", определенной </w:t>
      </w:r>
      <w:hyperlink r:id="rId40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</w:t>
      </w:r>
      <w:r>
        <w:lastRenderedPageBreak/>
        <w:t>целях развития Российской Федерации на период до 2030 года" (далее - национальная цель). Долю граждан, систематически занимающихся физической культурой и спортом, планируется увеличить к 2030 году до 70 процентов.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25. Реализация Программы направлена также на достижение показателей государственной программы (комплексной программы) Российской Федерации "Развитие физической культуры и спорта":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1) доля граждан, систематически занимающихся физической культурой и спортом;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2) уровень обеспеченности граждан спортивными сооружениями исходя из единовременной пропускной способности объектов спорта;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3) доля сельского населения, систематически занимающегося физической культурой и спортом.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 xml:space="preserve">26. В рамках государственной Программы реализуется региональный проект Ненецкого автономного округа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резерва", обеспечивающий достижение целей, показателей и результатов федерального проекта, входящего в состав национального проекта "Демография", направленного на достижение национальных целей развития Российской Федерации и их целевых показателей, определенных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года", в частности на достижение национальной цели "Сохранение населения, здоровье и благополучие людей".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27. В рамках указанного регионального проекта между Администрацией Ненецкого автономного округа и Министерством спорта Российской Федерации заключено соглашение от 29.01.2019 N 777-2019-P50065-2 "О реализации регионального проекта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(Ненецкий автономный округ)" на территории Ненецкого автономного округа".</w:t>
      </w:r>
    </w:p>
    <w:p w:rsidR="00293753" w:rsidRDefault="00293753">
      <w:pPr>
        <w:pStyle w:val="ConsPlusNormal"/>
        <w:spacing w:before="220"/>
        <w:ind w:firstLine="540"/>
        <w:jc w:val="both"/>
      </w:pPr>
      <w:r>
        <w:t>28. Для достижения целей и показателей государственной программы Российской Федерации "Развитие физической культуры и спорта" между Администрацией Ненецкого автономного округа и Министерством спорта Российской Федерации заключено соглашение от 15.12.2022 N 2022-00694 "О реализации на территории Ненецкого автономного округа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 "Развитие физической культуры и спорта".</w:t>
      </w: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ind w:firstLine="540"/>
        <w:jc w:val="both"/>
      </w:pPr>
    </w:p>
    <w:p w:rsidR="00293753" w:rsidRDefault="00293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AEC" w:rsidRDefault="00E55AEC">
      <w:bookmarkStart w:id="1" w:name="_GoBack"/>
      <w:bookmarkEnd w:id="1"/>
    </w:p>
    <w:sectPr w:rsidR="00E55AEC" w:rsidSect="002E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53"/>
    <w:rsid w:val="001D2B21"/>
    <w:rsid w:val="00293753"/>
    <w:rsid w:val="00E5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B4D8A-DA93-4BA1-8A25-74F6CE9C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37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37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38457&amp;dst=100005" TargetMode="External"/><Relationship Id="rId13" Type="http://schemas.openxmlformats.org/officeDocument/2006/relationships/hyperlink" Target="https://login.consultant.ru/link/?req=doc&amp;base=RLAW913&amp;n=55233&amp;dst=100005" TargetMode="External"/><Relationship Id="rId18" Type="http://schemas.openxmlformats.org/officeDocument/2006/relationships/hyperlink" Target="https://login.consultant.ru/link/?req=doc&amp;base=RLAW913&amp;n=32037" TargetMode="External"/><Relationship Id="rId26" Type="http://schemas.openxmlformats.org/officeDocument/2006/relationships/hyperlink" Target="https://login.consultant.ru/link/?req=doc&amp;base=LAW&amp;n=464989&amp;dst=100011" TargetMode="External"/><Relationship Id="rId39" Type="http://schemas.openxmlformats.org/officeDocument/2006/relationships/hyperlink" Target="https://login.consultant.ru/link/?req=doc&amp;base=LAW&amp;n=446531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13&amp;n=29073" TargetMode="External"/><Relationship Id="rId34" Type="http://schemas.openxmlformats.org/officeDocument/2006/relationships/hyperlink" Target="https://login.consultant.ru/link/?req=doc&amp;base=RLAW913&amp;n=543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37567&amp;dst=100005" TargetMode="External"/><Relationship Id="rId12" Type="http://schemas.openxmlformats.org/officeDocument/2006/relationships/hyperlink" Target="https://login.consultant.ru/link/?req=doc&amp;base=RLAW913&amp;n=51940&amp;dst=100005" TargetMode="External"/><Relationship Id="rId17" Type="http://schemas.openxmlformats.org/officeDocument/2006/relationships/hyperlink" Target="https://login.consultant.ru/link/?req=doc&amp;base=RLAW913&amp;n=58508&amp;dst=100010" TargetMode="External"/><Relationship Id="rId25" Type="http://schemas.openxmlformats.org/officeDocument/2006/relationships/hyperlink" Target="https://login.consultant.ru/link/?req=doc&amp;base=LAW&amp;n=446531&amp;dst=100009" TargetMode="External"/><Relationship Id="rId33" Type="http://schemas.openxmlformats.org/officeDocument/2006/relationships/hyperlink" Target="https://login.consultant.ru/link/?req=doc&amp;base=RLAW913&amp;n=52668" TargetMode="External"/><Relationship Id="rId38" Type="http://schemas.openxmlformats.org/officeDocument/2006/relationships/hyperlink" Target="https://login.consultant.ru/link/?req=doc&amp;base=LAW&amp;n=3579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7634" TargetMode="External"/><Relationship Id="rId20" Type="http://schemas.openxmlformats.org/officeDocument/2006/relationships/hyperlink" Target="https://login.consultant.ru/link/?req=doc&amp;base=RLAW913&amp;n=28768" TargetMode="External"/><Relationship Id="rId29" Type="http://schemas.openxmlformats.org/officeDocument/2006/relationships/hyperlink" Target="https://login.consultant.ru/link/?req=doc&amp;base=LAW&amp;n=160703" TargetMode="External"/><Relationship Id="rId41" Type="http://schemas.openxmlformats.org/officeDocument/2006/relationships/hyperlink" Target="https://login.consultant.ru/link/?req=doc&amp;base=LAW&amp;n=3579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36231&amp;dst=100005" TargetMode="External"/><Relationship Id="rId11" Type="http://schemas.openxmlformats.org/officeDocument/2006/relationships/hyperlink" Target="https://login.consultant.ru/link/?req=doc&amp;base=RLAW913&amp;n=48249&amp;dst=100005" TargetMode="External"/><Relationship Id="rId24" Type="http://schemas.openxmlformats.org/officeDocument/2006/relationships/hyperlink" Target="https://login.consultant.ru/link/?req=doc&amp;base=RLAW913&amp;n=58508&amp;dst=100011" TargetMode="External"/><Relationship Id="rId32" Type="http://schemas.openxmlformats.org/officeDocument/2006/relationships/hyperlink" Target="https://login.consultant.ru/link/?req=doc&amp;base=LAW&amp;n=464989" TargetMode="External"/><Relationship Id="rId37" Type="http://schemas.openxmlformats.org/officeDocument/2006/relationships/hyperlink" Target="https://login.consultant.ru/link/?req=doc&amp;base=LAW&amp;n=358026" TargetMode="External"/><Relationship Id="rId40" Type="http://schemas.openxmlformats.org/officeDocument/2006/relationships/hyperlink" Target="https://login.consultant.ru/link/?req=doc&amp;base=LAW&amp;n=357927" TargetMode="External"/><Relationship Id="rId5" Type="http://schemas.openxmlformats.org/officeDocument/2006/relationships/hyperlink" Target="https://login.consultant.ru/link/?req=doc&amp;base=RLAW913&amp;n=35352&amp;dst=100005" TargetMode="External"/><Relationship Id="rId15" Type="http://schemas.openxmlformats.org/officeDocument/2006/relationships/hyperlink" Target="https://login.consultant.ru/link/?req=doc&amp;base=RLAW913&amp;n=58508&amp;dst=100005" TargetMode="External"/><Relationship Id="rId23" Type="http://schemas.openxmlformats.org/officeDocument/2006/relationships/hyperlink" Target="https://login.consultant.ru/link/?req=doc&amp;base=RLAW913&amp;n=31867" TargetMode="External"/><Relationship Id="rId28" Type="http://schemas.openxmlformats.org/officeDocument/2006/relationships/hyperlink" Target="https://login.consultant.ru/link/?req=doc&amp;base=LAW&amp;n=357927" TargetMode="External"/><Relationship Id="rId36" Type="http://schemas.openxmlformats.org/officeDocument/2006/relationships/hyperlink" Target="https://login.consultant.ru/link/?req=doc&amp;base=RLAW913&amp;n=57272" TargetMode="External"/><Relationship Id="rId10" Type="http://schemas.openxmlformats.org/officeDocument/2006/relationships/hyperlink" Target="https://login.consultant.ru/link/?req=doc&amp;base=RLAW913&amp;n=44284&amp;dst=100005" TargetMode="External"/><Relationship Id="rId19" Type="http://schemas.openxmlformats.org/officeDocument/2006/relationships/hyperlink" Target="https://login.consultant.ru/link/?req=doc&amp;base=RLAW913&amp;n=26712" TargetMode="External"/><Relationship Id="rId31" Type="http://schemas.openxmlformats.org/officeDocument/2006/relationships/hyperlink" Target="https://login.consultant.ru/link/?req=doc&amp;base=LAW&amp;n=446531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38924&amp;dst=100005" TargetMode="External"/><Relationship Id="rId14" Type="http://schemas.openxmlformats.org/officeDocument/2006/relationships/hyperlink" Target="https://login.consultant.ru/link/?req=doc&amp;base=RLAW913&amp;n=56196&amp;dst=100005" TargetMode="External"/><Relationship Id="rId22" Type="http://schemas.openxmlformats.org/officeDocument/2006/relationships/hyperlink" Target="https://login.consultant.ru/link/?req=doc&amp;base=RLAW913&amp;n=29706" TargetMode="External"/><Relationship Id="rId27" Type="http://schemas.openxmlformats.org/officeDocument/2006/relationships/hyperlink" Target="https://login.consultant.ru/link/?req=doc&amp;base=LAW&amp;n=478585" TargetMode="External"/><Relationship Id="rId30" Type="http://schemas.openxmlformats.org/officeDocument/2006/relationships/hyperlink" Target="https://login.consultant.ru/link/?req=doc&amp;base=LAW&amp;n=358026" TargetMode="External"/><Relationship Id="rId35" Type="http://schemas.openxmlformats.org/officeDocument/2006/relationships/hyperlink" Target="https://login.consultant.ru/link/?req=doc&amp;base=RLAW913&amp;n=3395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3430</Words>
  <Characters>19554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Алексей Дмитриевич</dc:creator>
  <cp:keywords/>
  <dc:description/>
  <cp:lastModifiedBy>Филиппов Алексей Дмитриевич</cp:lastModifiedBy>
  <cp:revision>1</cp:revision>
  <dcterms:created xsi:type="dcterms:W3CDTF">2024-08-06T11:19:00Z</dcterms:created>
  <dcterms:modified xsi:type="dcterms:W3CDTF">2024-08-06T11:20:00Z</dcterms:modified>
</cp:coreProperties>
</file>