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Департамент образования, культуры и спорта </w:t>
      </w:r>
    </w:p>
    <w:p w14:paraId="04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Ненецкого автономного округа</w:t>
      </w:r>
    </w:p>
    <w:p w14:paraId="05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07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ВЫПИСКА ИЗ ПРОТОКОЛА</w:t>
      </w:r>
    </w:p>
    <w:p w14:paraId="08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b w:val="1"/>
          <w:color w:val="000000"/>
          <w:sz w:val="26"/>
        </w:rPr>
      </w:pPr>
    </w:p>
    <w:p w14:paraId="09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заседания Общественного совета </w:t>
      </w:r>
    </w:p>
    <w:p w14:paraId="0A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по независимой оценке качества условий оказания услуг </w:t>
      </w:r>
    </w:p>
    <w:p w14:paraId="0B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организациями культуры и образования </w:t>
      </w:r>
    </w:p>
    <w:p w14:paraId="0C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Ненецкого автономного округа </w:t>
      </w:r>
    </w:p>
    <w:p w14:paraId="0D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p w14:paraId="0E000000">
      <w:pPr>
        <w:pStyle w:val="Style_2"/>
        <w:widowControl w:val="1"/>
        <w:pBdr>
          <w:bottom w:color="000000" w:space="1" w:sz="12" w:val="single"/>
        </w:pBdr>
        <w:spacing w:after="0" w:before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18 ноября 2025 г.                                                                                                           </w:t>
      </w:r>
      <w:r>
        <w:rPr>
          <w:rFonts w:ascii="Times New Roman" w:hAnsi="Times New Roman"/>
          <w:sz w:val="26"/>
        </w:rPr>
        <w:t>№ 2</w:t>
      </w:r>
    </w:p>
    <w:p w14:paraId="0F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10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Департамент образования, культуры и спорта Ненецкого автономного округа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(далее – Департамент), ул. Ленина, д. 23А, г. Нарьян-Мар</w:t>
      </w:r>
    </w:p>
    <w:p w14:paraId="11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29"/>
        <w:gridCol w:w="539"/>
        <w:gridCol w:w="5286"/>
      </w:tblGrid>
      <w:tr>
        <w:tc>
          <w:tcPr>
            <w:tcW w:type="dxa" w:w="35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aps w:val="1"/>
                <w:sz w:val="26"/>
              </w:rPr>
            </w:pPr>
            <w:r>
              <w:rPr>
                <w:rFonts w:ascii="Times New Roman" w:hAnsi="Times New Roman"/>
                <w:caps w:val="1"/>
                <w:color w:val="000000"/>
                <w:spacing w:val="0"/>
                <w:sz w:val="26"/>
              </w:rPr>
              <w:t>Председательствовал:</w:t>
            </w:r>
          </w:p>
        </w:tc>
        <w:tc>
          <w:tcPr>
            <w:tcW w:type="dxa" w:w="5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52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С.А. Уваров</w:t>
            </w:r>
          </w:p>
        </w:tc>
      </w:tr>
      <w:tr>
        <w:tc>
          <w:tcPr>
            <w:tcW w:type="dxa" w:w="352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16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ПРИСУТСТВОВАЛИ:</w:t>
            </w:r>
          </w:p>
          <w:p w14:paraId="17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 </w:t>
            </w:r>
          </w:p>
          <w:p w14:paraId="18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5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52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6"/>
              </w:rPr>
            </w:pPr>
          </w:p>
          <w:p w14:paraId="1B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Список (Приложение 1)</w:t>
            </w:r>
          </w:p>
          <w:p w14:paraId="1C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6"/>
              </w:rPr>
            </w:pPr>
          </w:p>
          <w:p w14:paraId="1D000000">
            <w:pPr>
              <w:pStyle w:val="Style_2"/>
              <w:widowControl w:val="1"/>
              <w:tabs>
                <w:tab w:leader="none" w:pos="708" w:val="clear"/>
                <w:tab w:leader="none" w:pos="7020" w:val="left"/>
              </w:tabs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6"/>
              </w:rPr>
            </w:pPr>
          </w:p>
        </w:tc>
      </w:tr>
    </w:tbl>
    <w:p w14:paraId="1E000000">
      <w:pPr>
        <w:pStyle w:val="Style_4"/>
        <w:widowControl w:val="1"/>
        <w:numPr>
          <w:ilvl w:val="0"/>
          <w:numId w:val="1"/>
        </w:numPr>
        <w:pBdr>
          <w:bottom w:color="000000" w:space="1" w:sz="12" w:val="single"/>
        </w:pBdr>
        <w:spacing w:after="0" w:before="0" w:line="240" w:lineRule="auto"/>
        <w:ind w:firstLine="360" w:left="0" w:right="0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Утверждение результатов независимой оценки качества условий оказания услуг организациями культуры и образования Ненецкого автономного округа (далее – НОК, НАО) в 2025 году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</w:p>
    <w:p w14:paraId="1F000000">
      <w:pPr>
        <w:pStyle w:val="Style_2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Коткина И.В., Коткин Е.А.</w:t>
      </w:r>
    </w:p>
    <w:p w14:paraId="20000000">
      <w:pPr>
        <w:pStyle w:val="Style_2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6"/>
        </w:rPr>
      </w:pPr>
      <w:r>
        <w:rPr>
          <w:rFonts w:ascii="XO Thames" w:hAnsi="XO Thames"/>
          <w:sz w:val="26"/>
        </w:rPr>
        <w:tab/>
      </w:r>
      <w:r>
        <w:rPr>
          <w:rFonts w:ascii="XO Thames" w:hAnsi="XO Thames"/>
          <w:sz w:val="26"/>
        </w:rPr>
        <w:t xml:space="preserve">Во исполнение Федерального закона от 05.12.2017 № 392-ФЗ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rFonts w:ascii="XO Thames" w:hAnsi="XO Thames"/>
          <w:color w:val="000000"/>
          <w:sz w:val="26"/>
        </w:rPr>
        <w:t xml:space="preserve"> в 2025 году была проведена НОК в отношении </w:t>
      </w:r>
      <w:r>
        <w:rPr>
          <w:rFonts w:ascii="Times New Roman" w:hAnsi="Times New Roman"/>
          <w:sz w:val="26"/>
        </w:rPr>
        <w:t xml:space="preserve"> отношении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25 организаций, в том числе 18 – образования и 7 – культуры.</w:t>
      </w:r>
    </w:p>
    <w:p w14:paraId="21000000">
      <w:pPr>
        <w:pStyle w:val="Style_2"/>
        <w:widowControl w:val="1"/>
        <w:spacing w:after="0" w:before="0" w:line="240" w:lineRule="auto"/>
        <w:ind w:firstLine="850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Сбор и обобщение информации в рамках НОК была проведена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ООО «Имидж-Фактор» (далее 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z w:val="26"/>
        </w:rPr>
        <w:t xml:space="preserve"> оператор) по заказу Департамента внутренней политики НАО в рамках государственного контракта №7/2025 от 02.06.2025.</w:t>
      </w:r>
    </w:p>
    <w:p w14:paraId="22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Оценка проводилась согласно техническому заданию, разработанному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 соответствии с федеральным законодательством и методическими рекомендациями Минпросвещения и Минкультуры России.  </w:t>
      </w:r>
    </w:p>
    <w:p w14:paraId="23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 xml:space="preserve">Показатели, характеризующие критерии оценки: </w:t>
      </w:r>
    </w:p>
    <w:p w14:paraId="24000000">
      <w:pPr>
        <w:pStyle w:val="Style_4"/>
        <w:widowControl w:val="1"/>
        <w:tabs>
          <w:tab w:leader="none" w:pos="708" w:val="clear"/>
          <w:tab w:leader="none" w:pos="851" w:val="left"/>
        </w:tabs>
        <w:spacing w:after="0" w:before="0" w:line="240" w:lineRule="auto"/>
        <w:ind w:firstLine="425" w:left="142" w:right="0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</w:rPr>
        <w:t>открытость и доступность информации об организации;</w:t>
      </w:r>
    </w:p>
    <w:p w14:paraId="25000000">
      <w:pPr>
        <w:pStyle w:val="Style_4"/>
        <w:widowControl w:val="1"/>
        <w:tabs>
          <w:tab w:leader="none" w:pos="708" w:val="clear"/>
          <w:tab w:leader="none" w:pos="851" w:val="left"/>
        </w:tabs>
        <w:spacing w:after="0" w:before="0" w:line="240" w:lineRule="auto"/>
        <w:ind w:firstLine="425" w:left="142" w:right="0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</w:rPr>
        <w:t>комфортность условий предоставления услуг;</w:t>
      </w:r>
    </w:p>
    <w:p w14:paraId="26000000">
      <w:pPr>
        <w:pStyle w:val="Style_4"/>
        <w:widowControl w:val="1"/>
        <w:tabs>
          <w:tab w:leader="none" w:pos="708" w:val="clear"/>
          <w:tab w:leader="none" w:pos="851" w:val="left"/>
        </w:tabs>
        <w:spacing w:after="0" w:before="0" w:line="240" w:lineRule="auto"/>
        <w:ind w:firstLine="425" w:left="142" w:right="0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</w:rPr>
        <w:t>доступность услуг для инвалидов;</w:t>
      </w:r>
    </w:p>
    <w:p w14:paraId="27000000">
      <w:pPr>
        <w:pStyle w:val="Style_4"/>
        <w:widowControl w:val="1"/>
        <w:tabs>
          <w:tab w:leader="none" w:pos="708" w:val="clear"/>
          <w:tab w:leader="none" w:pos="851" w:val="left"/>
        </w:tabs>
        <w:spacing w:after="0" w:before="0" w:line="240" w:lineRule="auto"/>
        <w:ind w:firstLine="425" w:left="142" w:right="0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</w:rPr>
        <w:t>доброжелательность, вежливость работников организации;</w:t>
      </w:r>
    </w:p>
    <w:p w14:paraId="28000000">
      <w:pPr>
        <w:pStyle w:val="Style_4"/>
        <w:widowControl w:val="1"/>
        <w:tabs>
          <w:tab w:leader="none" w:pos="708" w:val="clear"/>
          <w:tab w:leader="none" w:pos="851" w:val="left"/>
        </w:tabs>
        <w:spacing w:after="0" w:before="0" w:line="240" w:lineRule="auto"/>
        <w:ind w:firstLine="425" w:left="142" w:right="0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</w:rPr>
        <w:t>удовлетворенность условиями оказания услуг.</w:t>
      </w:r>
    </w:p>
    <w:p w14:paraId="29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Расчет показателей проводился на основании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  <w:highlight w:val="white"/>
        </w:rPr>
        <w:t>риказа Минтруда России</w:t>
      </w:r>
      <w:r>
        <w:rPr>
          <w:rFonts w:ascii="Times New Roman" w:hAnsi="Times New Roman"/>
          <w:sz w:val="26"/>
          <w:highlight w:val="white"/>
        </w:rPr>
        <w:br/>
      </w:r>
      <w:r>
        <w:rPr>
          <w:rFonts w:ascii="Times New Roman" w:hAnsi="Times New Roman"/>
          <w:sz w:val="26"/>
          <w:highlight w:val="white"/>
        </w:rPr>
        <w:t xml:space="preserve">от 31.05.2018 № 344н </w:t>
      </w:r>
      <w:r>
        <w:rPr>
          <w:rFonts w:ascii="Times New Roman" w:hAnsi="Times New Roman"/>
          <w:sz w:val="26"/>
          <w:highlight w:val="white"/>
        </w:rPr>
        <w:t>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14:paraId="2A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Всего опрошено </w:t>
      </w:r>
      <w:r>
        <w:rPr>
          <w:rFonts w:ascii="Times New Roman" w:hAnsi="Times New Roman"/>
          <w:b w:val="1"/>
          <w:sz w:val="26"/>
        </w:rPr>
        <w:t>4584</w:t>
      </w:r>
      <w:r>
        <w:rPr>
          <w:rFonts w:ascii="Times New Roman" w:hAnsi="Times New Roman"/>
          <w:sz w:val="26"/>
        </w:rPr>
        <w:t xml:space="preserve"> пользователей услуг: в сфере культуры – </w:t>
      </w:r>
      <w:r>
        <w:rPr>
          <w:rFonts w:ascii="Times New Roman" w:hAnsi="Times New Roman"/>
          <w:b w:val="1"/>
          <w:sz w:val="26"/>
        </w:rPr>
        <w:t>866</w:t>
      </w:r>
      <w:r>
        <w:rPr>
          <w:rFonts w:ascii="Times New Roman" w:hAnsi="Times New Roman"/>
          <w:sz w:val="26"/>
        </w:rPr>
        <w:t xml:space="preserve">, в сфере образования – </w:t>
      </w:r>
      <w:r>
        <w:rPr>
          <w:rFonts w:ascii="Times New Roman" w:hAnsi="Times New Roman"/>
          <w:b w:val="1"/>
          <w:sz w:val="26"/>
        </w:rPr>
        <w:t>1336</w:t>
      </w:r>
      <w:r>
        <w:rPr>
          <w:rFonts w:ascii="Times New Roman" w:hAnsi="Times New Roman"/>
          <w:sz w:val="26"/>
        </w:rPr>
        <w:t xml:space="preserve">. </w:t>
      </w:r>
    </w:p>
    <w:p w14:paraId="2B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основании аналитического отчета, представленного оператором, составлен сводный рейтинг организаций культуры и образования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(Приложение 2).</w:t>
      </w:r>
    </w:p>
    <w:p w14:paraId="2C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 сфере культуры:</w:t>
      </w:r>
    </w:p>
    <w:p w14:paraId="2D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Оценки всех организаций интерпретируются как отличные К категории «лучшие» могут быть отнесены ГБУК НАО «Культурный центр имени А.С. Савинковой» (95 баллов), ГБУК «Музейное объединение НАО» (94 балла), ГБУК НАО «Дом культуры п. Каратайка» (93 балла), к категории «средние» – ГБУК НАО «Дом культуры п. Бугрино», ГБУК НАО «Несский Дом народного творчества», ГБУК НАО «Омский центральный Дом культуры», ГБУК НАО «Тиманский центральный Дом культуры» (по 89 баллов).</w:t>
      </w:r>
    </w:p>
    <w:p w14:paraId="2E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Средние значения показателей по каждому критерию НОК составляют:</w:t>
      </w:r>
    </w:p>
    <w:p w14:paraId="2F000000">
      <w:pPr>
        <w:pStyle w:val="Style_5"/>
        <w:widowControl w:val="1"/>
        <w:numPr>
          <w:ilvl w:val="0"/>
          <w:numId w:val="2"/>
        </w:numPr>
        <w:tabs>
          <w:tab w:leader="none" w:pos="708" w:val="clear"/>
          <w:tab w:leader="none" w:pos="851" w:val="left"/>
        </w:tabs>
        <w:spacing w:after="0" w:before="0"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Открытость и доступность информации об организации – 99 балла.</w:t>
      </w:r>
    </w:p>
    <w:p w14:paraId="30000000">
      <w:pPr>
        <w:pStyle w:val="Style_5"/>
        <w:widowControl w:val="1"/>
        <w:numPr>
          <w:ilvl w:val="0"/>
          <w:numId w:val="2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Комфортность условий предоставления услуг, в том числе время ожидания предоставления услуг – 98 балла.</w:t>
      </w:r>
    </w:p>
    <w:p w14:paraId="31000000">
      <w:pPr>
        <w:pStyle w:val="Style_5"/>
        <w:widowControl w:val="1"/>
        <w:numPr>
          <w:ilvl w:val="0"/>
          <w:numId w:val="2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Доступность услуг для инвалидов – 60 баллов.</w:t>
      </w:r>
    </w:p>
    <w:p w14:paraId="32000000">
      <w:pPr>
        <w:pStyle w:val="Style_5"/>
        <w:widowControl w:val="1"/>
        <w:numPr>
          <w:ilvl w:val="0"/>
          <w:numId w:val="2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Доброжелательность, вежливость работников организаций – 98 балла.</w:t>
      </w:r>
    </w:p>
    <w:p w14:paraId="33000000">
      <w:pPr>
        <w:pStyle w:val="Style_5"/>
        <w:widowControl w:val="1"/>
        <w:numPr>
          <w:ilvl w:val="0"/>
          <w:numId w:val="2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Удовлетворенность условиями оказания услуг – 99 балла.</w:t>
      </w:r>
    </w:p>
    <w:p w14:paraId="34000000">
      <w:pPr>
        <w:pStyle w:val="Style_5"/>
        <w:widowControl w:val="1"/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Среднее значение показателей</w:t>
      </w:r>
      <w:r>
        <w:rPr>
          <w:rFonts w:ascii="Times New Roman" w:hAnsi="Times New Roman"/>
          <w:color w:val="000000"/>
          <w:sz w:val="26"/>
        </w:rPr>
        <w:t xml:space="preserve"> по пяти общим критериям по отрасли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целом составило </w:t>
      </w:r>
      <w:r>
        <w:rPr>
          <w:rFonts w:ascii="Times New Roman" w:hAnsi="Times New Roman"/>
          <w:b w:val="1"/>
          <w:color w:val="000000"/>
          <w:sz w:val="26"/>
        </w:rPr>
        <w:t>91 балл</w:t>
      </w:r>
      <w:r>
        <w:rPr>
          <w:rFonts w:ascii="Times New Roman" w:hAnsi="Times New Roman"/>
          <w:color w:val="000000"/>
          <w:sz w:val="26"/>
        </w:rPr>
        <w:t xml:space="preserve">, что в целом отвечает существующим стандартам предоставления социальных услуг и может быть интерпретировано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как отличное. </w:t>
      </w:r>
    </w:p>
    <w:p w14:paraId="35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Результаты НОК выявили общую проблему в организации доступной среды для получателей услуг с ограниченными возможностями здоровья. </w:t>
      </w:r>
    </w:p>
    <w:p w14:paraId="36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Тем не менее, подавляющее большинство опрошенных отмечают высокий уровень работы сотрудников учреждений культуры, их профессионализм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 доброжелательность.</w:t>
      </w:r>
    </w:p>
    <w:p w14:paraId="37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 сфере образования:</w:t>
      </w:r>
    </w:p>
    <w:p w14:paraId="38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Качество условий осуществления образовательной деятельности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 образовательных организациях находится на высоком уровне. </w:t>
      </w:r>
    </w:p>
    <w:p w14:paraId="39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Максимальное значение показателей (96 баллов из 100 возможных) получено ГБДОУ НАО «Детский сад «Ромашка»</w:t>
      </w:r>
      <w:r>
        <w:rPr>
          <w:rFonts w:ascii="Times New Roman" w:hAnsi="Times New Roman"/>
          <w:sz w:val="26"/>
        </w:rPr>
        <w:t>. Замыкает рейтинг ГБОУ НАО «Средняя школа с. Оксино» с результатом 70 баллов из 100 возможных.</w:t>
      </w:r>
    </w:p>
    <w:p w14:paraId="3A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Средние значения показателей по каждому критерию НОК составляют:</w:t>
      </w:r>
    </w:p>
    <w:p w14:paraId="3B000000">
      <w:pPr>
        <w:pStyle w:val="Style_5"/>
        <w:widowControl w:val="1"/>
        <w:numPr>
          <w:ilvl w:val="0"/>
          <w:numId w:val="3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Открытость и доступность информации об организации – 95 баллов.</w:t>
      </w:r>
    </w:p>
    <w:p w14:paraId="3C000000">
      <w:pPr>
        <w:pStyle w:val="Style_5"/>
        <w:widowControl w:val="1"/>
        <w:numPr>
          <w:ilvl w:val="0"/>
          <w:numId w:val="3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Комфортность условий предоставления услуг, в том числе время ожидания предоставления услуг – 93 балла.</w:t>
      </w:r>
    </w:p>
    <w:p w14:paraId="3D000000">
      <w:pPr>
        <w:pStyle w:val="Style_5"/>
        <w:widowControl w:val="1"/>
        <w:numPr>
          <w:ilvl w:val="0"/>
          <w:numId w:val="3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Доступность услуг для инвалидов – 54 балла.</w:t>
      </w:r>
    </w:p>
    <w:p w14:paraId="3E000000">
      <w:pPr>
        <w:pStyle w:val="Style_5"/>
        <w:widowControl w:val="1"/>
        <w:numPr>
          <w:ilvl w:val="0"/>
          <w:numId w:val="3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Доброжелательность, вежливость работников организаций – 94 балла.</w:t>
      </w:r>
    </w:p>
    <w:p w14:paraId="3F000000">
      <w:pPr>
        <w:pStyle w:val="Style_5"/>
        <w:widowControl w:val="1"/>
        <w:numPr>
          <w:ilvl w:val="0"/>
          <w:numId w:val="3"/>
        </w:numPr>
        <w:tabs>
          <w:tab w:leader="none" w:pos="708" w:val="clear"/>
          <w:tab w:leader="none" w:pos="851" w:val="left"/>
        </w:tabs>
        <w:spacing w:line="240" w:lineRule="auto"/>
        <w:ind w:firstLine="567" w:left="0" w:right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Удовлетворенность условиями оказания услуг – 90 баллов.</w:t>
      </w:r>
    </w:p>
    <w:p w14:paraId="40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Среднее значение показателей</w:t>
      </w:r>
      <w:r>
        <w:rPr>
          <w:rFonts w:ascii="Times New Roman" w:hAnsi="Times New Roman"/>
          <w:sz w:val="26"/>
        </w:rPr>
        <w:t xml:space="preserve"> по пяти общим критериям по отрасли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в целом составило </w:t>
      </w:r>
      <w:r>
        <w:rPr>
          <w:rFonts w:ascii="Times New Roman" w:hAnsi="Times New Roman"/>
          <w:b w:val="1"/>
          <w:sz w:val="26"/>
        </w:rPr>
        <w:t xml:space="preserve">85 </w:t>
      </w:r>
      <w:r>
        <w:rPr>
          <w:rFonts w:ascii="Times New Roman" w:hAnsi="Times New Roman"/>
          <w:sz w:val="26"/>
        </w:rPr>
        <w:t>баллов,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6"/>
        </w:rPr>
        <w:t xml:space="preserve">что в целом отвечает существующим стандартам предоставления социальных услуг и может быть интерпретировано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как удовлетворительное. </w:t>
      </w:r>
    </w:p>
    <w:p w14:paraId="41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Большинство опрошенных отмечают высокий уровень работы сотрудников образовательных организаций, их профессионализм, вежливость </w:t>
      </w:r>
      <w:r>
        <w:rPr>
          <w:rFonts w:ascii="Times New Roman" w:hAnsi="Times New Roman"/>
          <w:sz w:val="26"/>
        </w:rPr>
        <w:t xml:space="preserve">и доброжелательность. </w:t>
      </w:r>
    </w:p>
    <w:p w14:paraId="42000000">
      <w:pPr>
        <w:pStyle w:val="Style_2"/>
        <w:widowControl w:val="1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Результаты НОК выявили общую проблему организаций образования и культуры по доступности услуг для лиц с ограниченными возможностями здоровья. </w:t>
      </w:r>
    </w:p>
    <w:p w14:paraId="43000000">
      <w:pPr>
        <w:pStyle w:val="Style_2"/>
        <w:widowControl w:val="1"/>
        <w:spacing w:after="0" w:before="0" w:line="240" w:lineRule="auto"/>
        <w:ind w:firstLine="703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ВЫСТУПИЛИ: </w:t>
      </w:r>
    </w:p>
    <w:p w14:paraId="44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Куликова Л.А.:</w:t>
      </w:r>
    </w:p>
    <w:p w14:paraId="45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XO Thames" w:hAnsi="XO Thames"/>
          <w:sz w:val="26"/>
        </w:rPr>
        <w:t xml:space="preserve">По итогам изучения представленных отчетов федеральным куратором Всероссийской организации родителей детей-инвалидов (ВОРДИ)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 координатором регионального отделения ВОРДИ НАО по доступной среде считаем важным отметить следующее. </w:t>
      </w:r>
    </w:p>
    <w:p w14:paraId="46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отчет нет указания на приказ Минтруда России от 25.12.2012 № 627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по методике паспортизации объектов и услуг, которая позволяет оценивать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их доступность для инвалидов и других маломобильных групп населения с учетом региональной специфики. Анализ результатов показал, что, несмотря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позитивные тенденции и усилия, многие объекты остаются лишь частично доступными. Это означает, что люди с инвалидностью по-прежнему сталкиваются с серьезными препятствиями при посещении учреждений культуры и образования.</w:t>
      </w:r>
    </w:p>
    <w:p w14:paraId="47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Необходимо уделить особое внимание качеству исполнения работ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при создании безбарьерной среды, чтобы избежать формального подхода; привлекать экспертов в сфере инвалидности не только к оценке,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но и планированию работ, чтобы учитывать реальные потребности людей; обеспечить регулярный мониторинг и контроль за состоянием объектов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для поддержания их доступности. </w:t>
      </w:r>
    </w:p>
    <w:p w14:paraId="48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Следует подчеркнуть, что существующая методика расчёта доступности объектов нуждается в существенной корректировке, поскольку не отражает объективной картины при сравнении. Налицо значительные различия: объекты расположены как в сельской местности, так и в городской среде; посещаемость варьируется от массовой до едва достигающей нескольких десятков человек.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Всё это необходимо учитывать для более точной оценки. Необходимо четко разграничивать критерии оценки для разных типов учреждений культуры. Сравнение «автобуса и санок» не имеет смысла. Каждая организация должна оцениваться на основе специфических для нее показателей, отражающих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ее миссию, целевую аудиторию и особенности предоставляемых услуг. Ссылаемся на Свод правил «Доступность зданий и сооружений для маломобильных групп населения» СП-59.13330.2020 (гл. 8).</w:t>
      </w:r>
    </w:p>
    <w:p w14:paraId="49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Roboto" w:hAnsi="Roboto"/>
          <w:b w:val="0"/>
          <w:i w:val="0"/>
          <w:caps w:val="0"/>
          <w:smallCaps w:val="0"/>
          <w:color w:val="000000"/>
          <w:spacing w:val="0"/>
          <w:sz w:val="24"/>
          <w:highlight w:val="white"/>
        </w:rPr>
      </w:pPr>
    </w:p>
    <w:p w14:paraId="4A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Мухиддинова М.:</w:t>
      </w:r>
    </w:p>
    <w:p w14:paraId="4B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Сотрудниками ООО «Имидж-Фактор» была проведена детальная, работа.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br/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По их отчёту сделала соответствующие выводы. </w:t>
      </w:r>
    </w:p>
    <w:p w14:paraId="4C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Большинство получателей услуг учреждений культуры и образования удовлетворены качеством получаемых услуг. Тем не менее, проблемы есть,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br/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и они пока остаются нерешёнными. Это касается вопроса о предоставлении услуг для инвалидов. Из этого следует, что организации не могут самостоятельно, собственными силами решить эту проблему. Этот вопрос должен ставиться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br/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и решаться на более высоком уровне. </w:t>
      </w:r>
    </w:p>
    <w:p w14:paraId="4D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Что касается неполной информации о деятельности организации, размещённой на общедоступных информационных ресурсах, то непонятно, почему организации, кроме некоторых, не в состоянии навести порядок в этой сфере.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br/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6"/>
          <w:highlight w:val="white"/>
        </w:rPr>
        <w:t xml:space="preserve">На это нужно обратить внимание, так как размещение информации о своей деятельности необходимо и не требует больших усилий. </w:t>
      </w:r>
    </w:p>
    <w:p w14:paraId="4E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Уваров С.А.:</w:t>
      </w:r>
    </w:p>
    <w:p w14:paraId="4F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высокие показатели работы предлагаем поощрить благодарственными письмами Департамента учреждения, набравшие в итогам НОК более 90 баллов по всем пяти критериям.      </w:t>
      </w:r>
    </w:p>
    <w:p w14:paraId="50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РЕШИЛИ: (единогласно)</w:t>
      </w:r>
    </w:p>
    <w:p w14:paraId="51000000">
      <w:pPr>
        <w:pStyle w:val="Style_4"/>
        <w:widowControl w:val="1"/>
        <w:numPr>
          <w:ilvl w:val="0"/>
          <w:numId w:val="4"/>
        </w:numPr>
        <w:spacing w:after="0" w:before="0" w:line="240" w:lineRule="auto"/>
        <w:ind w:firstLine="360" w:left="0" w:righ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к сведению, согласовать и утвердить результаты проведения независимой оценки в 2025 году, в том числе сводный рейтинг организаций (Приложение 2). </w:t>
      </w:r>
    </w:p>
    <w:p w14:paraId="52000000">
      <w:pPr>
        <w:pStyle w:val="Style_4"/>
        <w:widowControl w:val="1"/>
        <w:numPr>
          <w:ilvl w:val="0"/>
          <w:numId w:val="4"/>
        </w:numPr>
        <w:spacing w:after="0" w:before="0" w:line="240" w:lineRule="auto"/>
        <w:ind w:firstLine="360" w:left="0" w:righ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Рекомендовать Департаменту:</w:t>
      </w:r>
    </w:p>
    <w:p w14:paraId="53000000">
      <w:pPr>
        <w:pStyle w:val="Style_2"/>
        <w:widowControl w:val="1"/>
        <w:spacing w:after="0" w:before="0" w:line="240" w:lineRule="auto"/>
        <w:ind w:firstLine="360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</w:rPr>
        <w:t>разработать план по устранению недостатков, выявленных в ходе НОК;</w:t>
      </w:r>
    </w:p>
    <w:p w14:paraId="54000000">
      <w:pPr>
        <w:pStyle w:val="Style_2"/>
        <w:widowControl w:val="1"/>
        <w:spacing w:after="0" w:before="0" w:line="240" w:lineRule="auto"/>
        <w:ind w:firstLine="360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</w:rPr>
        <w:t xml:space="preserve">поощрить организации, успешно прошедшие НОК </w:t>
      </w:r>
      <w:r>
        <w:rPr>
          <w:rFonts w:ascii="Times New Roman" w:hAnsi="Times New Roman"/>
          <w:sz w:val="26"/>
        </w:rPr>
        <w:t>в 2025 году и набравшие итоговые значения более 90 баллов из 100 возможных:</w:t>
      </w:r>
    </w:p>
    <w:p w14:paraId="55000000">
      <w:pPr>
        <w:pStyle w:val="Style_4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ГБДОУ НАО «Детский сад “Ромашка», </w:t>
      </w:r>
    </w:p>
    <w:p w14:paraId="56000000">
      <w:pPr>
        <w:pStyle w:val="Style_4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ГБДОУ НАО «Детский сад с.Тельвиска», </w:t>
      </w:r>
    </w:p>
    <w:p w14:paraId="57000000">
      <w:pPr>
        <w:pStyle w:val="Style_4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ГБДОУ НАО «Центр развитии ребенка - детский сад «Умка»,</w:t>
      </w:r>
    </w:p>
    <w:p w14:paraId="58000000">
      <w:pPr>
        <w:pStyle w:val="Style_4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ГБОУ НАО «Основная школа с. Коткино им. Н.Н. Змывалова», </w:t>
      </w:r>
    </w:p>
    <w:p w14:paraId="59000000">
      <w:pPr>
        <w:pStyle w:val="Style_4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ГБОУ НАО «Средняя школа № 4 г. Нарьян-Мара с углубленным изучением предметов», </w:t>
      </w:r>
    </w:p>
    <w:p w14:paraId="5A000000">
      <w:pPr>
        <w:pStyle w:val="Style_4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ГБОУ НАО «Средняя школа с. Несь».</w:t>
      </w:r>
    </w:p>
    <w:p w14:paraId="5B000000">
      <w:pPr>
        <w:pStyle w:val="Style_2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ГБУК НАО «Культурный центр им А.С. Савинковой»</w:t>
      </w:r>
    </w:p>
    <w:p w14:paraId="5C000000">
      <w:pPr>
        <w:pStyle w:val="Style_2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ГБУК «Музейное объединение НАО»,</w:t>
      </w:r>
    </w:p>
    <w:p w14:paraId="5D000000">
      <w:pPr>
        <w:pStyle w:val="Style_2"/>
        <w:widowControl w:val="1"/>
        <w:numPr>
          <w:numId w:val="5"/>
        </w:numPr>
        <w:spacing w:after="0" w:before="0" w:line="240" w:lineRule="auto"/>
        <w:ind w:firstLine="425" w:left="0" w:right="0"/>
        <w:contextualSpacing w:val="1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ГБУК НАО «Дом культуры п. Каратайка».</w:t>
      </w:r>
    </w:p>
    <w:p w14:paraId="5E000000">
      <w:pPr>
        <w:pStyle w:val="Style_2"/>
        <w:widowControl w:val="1"/>
        <w:spacing w:after="0" w:before="0" w:line="240" w:lineRule="auto"/>
        <w:ind w:firstLine="360" w:left="0" w:right="0"/>
        <w:contextualSpacing w:val="1"/>
        <w:jc w:val="both"/>
        <w:rPr>
          <w:rFonts w:ascii="Times New Roman" w:hAnsi="Times New Roman"/>
          <w:sz w:val="26"/>
          <w:highlight w:val="white"/>
        </w:rPr>
      </w:pPr>
    </w:p>
    <w:p w14:paraId="5F000000">
      <w:pPr>
        <w:pStyle w:val="Style_2"/>
        <w:widowControl w:val="1"/>
        <w:spacing w:after="0" w:before="0" w:line="240" w:lineRule="auto"/>
        <w:ind w:firstLine="360" w:left="0" w:right="0"/>
        <w:contextualSpacing w:val="1"/>
        <w:jc w:val="both"/>
        <w:rPr>
          <w:rFonts w:ascii="Times New Roman" w:hAnsi="Times New Roman"/>
          <w:sz w:val="26"/>
        </w:rPr>
      </w:pPr>
    </w:p>
    <w:p w14:paraId="60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61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Секретарь                                                              </w:t>
      </w:r>
      <w:r>
        <w:drawing>
          <wp:inline>
            <wp:extent cx="1055370" cy="60134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055370" cy="6013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</w:rPr>
        <w:t xml:space="preserve">         М. Мухитдинова</w:t>
      </w:r>
      <w:r>
        <w:br w:type="page"/>
      </w:r>
    </w:p>
    <w:p w14:paraId="62000000">
      <w:pPr>
        <w:pStyle w:val="Style_2"/>
        <w:widowControl w:val="1"/>
        <w:spacing w:after="0" w:before="0" w:line="240" w:lineRule="auto"/>
        <w:ind w:firstLine="0" w:left="4536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1</w:t>
      </w:r>
    </w:p>
    <w:p w14:paraId="63000000">
      <w:pPr>
        <w:pStyle w:val="Style_2"/>
        <w:widowControl w:val="1"/>
        <w:spacing w:after="0" w:before="0" w:line="240" w:lineRule="auto"/>
        <w:ind w:firstLine="0" w:left="4536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протоколу заседания общественного совета по независимой оценке качества условий оказания услуг организациями культуры и образования Ненецкого автономного округа от 18.11.2025 № 2</w:t>
      </w:r>
    </w:p>
    <w:p w14:paraId="64000000">
      <w:pPr>
        <w:pStyle w:val="Style_2"/>
        <w:widowControl w:val="1"/>
        <w:spacing w:after="0" w:before="0" w:line="240" w:lineRule="auto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</w:t>
      </w:r>
    </w:p>
    <w:p w14:paraId="65000000">
      <w:pPr>
        <w:pStyle w:val="Style_2"/>
        <w:widowControl w:val="1"/>
        <w:ind/>
        <w:jc w:val="center"/>
        <w:rPr>
          <w:rFonts w:ascii="Times New Roman" w:hAnsi="Times New Roman"/>
          <w:sz w:val="26"/>
        </w:rPr>
      </w:pPr>
    </w:p>
    <w:p w14:paraId="66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Список присутствующих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4"/>
        <w:gridCol w:w="422"/>
        <w:gridCol w:w="4938"/>
      </w:tblGrid>
      <w:tr>
        <w:tc>
          <w:tcPr>
            <w:tcW w:type="dxa" w:w="39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6"/>
              </w:rPr>
              <w:t>Председатель</w:t>
            </w:r>
          </w:p>
          <w:p w14:paraId="6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Уваров Сергей Александрович</w:t>
            </w:r>
          </w:p>
        </w:tc>
        <w:tc>
          <w:tcPr>
            <w:tcW w:type="dxa" w:w="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6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–</w:t>
            </w:r>
          </w:p>
        </w:tc>
        <w:tc>
          <w:tcPr>
            <w:tcW w:type="dxa" w:w="4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  <w:highlight w:val="white"/>
              </w:rPr>
            </w:pPr>
          </w:p>
          <w:p w14:paraId="6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highlight w:val="white"/>
              </w:rPr>
              <w:t>председатель Ненецкой региональной общественной организации «Общество краеведов»</w:t>
            </w:r>
          </w:p>
        </w:tc>
      </w:tr>
      <w:tr>
        <w:tc>
          <w:tcPr>
            <w:tcW w:type="dxa" w:w="39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6"/>
              </w:rPr>
              <w:t>Секретарь</w:t>
            </w:r>
          </w:p>
          <w:p w14:paraId="6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Мухиддинова Махпрат</w:t>
            </w:r>
          </w:p>
        </w:tc>
        <w:tc>
          <w:tcPr>
            <w:tcW w:type="dxa" w:w="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7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–</w:t>
            </w:r>
          </w:p>
        </w:tc>
        <w:tc>
          <w:tcPr>
            <w:tcW w:type="dxa" w:w="4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  <w:highlight w:val="white"/>
              </w:rPr>
            </w:pPr>
          </w:p>
          <w:p w14:paraId="7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highlight w:val="white"/>
              </w:rPr>
              <w:t>член региональной общественной организации «Клуб скандинавской ходьбы Ненецкого автономного округа»</w:t>
            </w:r>
          </w:p>
        </w:tc>
      </w:tr>
      <w:tr>
        <w:tc>
          <w:tcPr>
            <w:tcW w:type="dxa" w:w="39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7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6"/>
              </w:rPr>
              <w:t>Члены Совета:</w:t>
            </w:r>
          </w:p>
          <w:p w14:paraId="7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Куликова Людмила Анатольевна</w:t>
            </w:r>
          </w:p>
        </w:tc>
        <w:tc>
          <w:tcPr>
            <w:tcW w:type="dxa" w:w="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7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7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–</w:t>
            </w:r>
          </w:p>
        </w:tc>
        <w:tc>
          <w:tcPr>
            <w:tcW w:type="dxa" w:w="4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7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  <w:highlight w:val="white"/>
              </w:rPr>
            </w:pPr>
          </w:p>
          <w:p w14:paraId="7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highlight w:val="white"/>
              </w:rPr>
              <w:t xml:space="preserve">председатель регионального отделения общероссийской общественной организации «Всероссийская организация родителей детей-инвалидов» «Добро </w:t>
            </w:r>
            <w:r>
              <w:rPr>
                <w:rFonts w:ascii="Times New Roman" w:hAnsi="Times New Roman"/>
                <w:color w:val="000000"/>
                <w:spacing w:val="0"/>
                <w:sz w:val="26"/>
                <w:highlight w:val="white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6"/>
                <w:highlight w:val="white"/>
              </w:rPr>
              <w:t>без границ»</w:t>
            </w:r>
          </w:p>
        </w:tc>
      </w:tr>
      <w:tr>
        <w:tc>
          <w:tcPr>
            <w:tcW w:type="dxa" w:w="39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6"/>
              <w:widowControl w:val="1"/>
              <w:spacing w:after="0" w:before="0"/>
              <w:ind w:firstLine="0" w:left="0" w:right="0"/>
              <w:jc w:val="both"/>
              <w:rPr>
                <w:sz w:val="26"/>
              </w:rPr>
            </w:pPr>
          </w:p>
        </w:tc>
        <w:tc>
          <w:tcPr>
            <w:tcW w:type="dxa" w:w="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6"/>
              <w:widowControl w:val="1"/>
              <w:spacing w:after="0" w:before="0"/>
              <w:ind w:firstLine="0" w:left="0" w:right="0"/>
              <w:jc w:val="both"/>
              <w:rPr>
                <w:sz w:val="26"/>
              </w:rPr>
            </w:pPr>
          </w:p>
        </w:tc>
        <w:tc>
          <w:tcPr>
            <w:tcW w:type="dxa" w:w="4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6"/>
              <w:widowControl w:val="1"/>
              <w:spacing w:after="0" w:before="0"/>
              <w:ind w:firstLine="0" w:left="0" w:right="0"/>
              <w:jc w:val="both"/>
              <w:rPr>
                <w:sz w:val="26"/>
              </w:rPr>
            </w:pPr>
            <w:r>
              <w:rPr>
                <w:color w:val="000000"/>
                <w:spacing w:val="0"/>
                <w:sz w:val="26"/>
              </w:rPr>
              <w:t>Личутина Мария Петровна</w:t>
            </w:r>
          </w:p>
        </w:tc>
        <w:tc>
          <w:tcPr>
            <w:tcW w:type="dxa" w:w="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6"/>
              <w:widowControl w:val="1"/>
              <w:spacing w:after="0" w:before="0"/>
              <w:ind w:firstLine="0" w:left="0" w:right="0"/>
              <w:jc w:val="both"/>
              <w:rPr>
                <w:sz w:val="26"/>
              </w:rPr>
            </w:pPr>
            <w:r>
              <w:rPr>
                <w:color w:val="000000"/>
                <w:spacing w:val="0"/>
                <w:sz w:val="26"/>
              </w:rPr>
              <w:t>–</w:t>
            </w:r>
          </w:p>
        </w:tc>
        <w:tc>
          <w:tcPr>
            <w:tcW w:type="dxa" w:w="4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  <w:highlight w:val="white"/>
              </w:rPr>
              <w:t>член региональной общественной организации «Особое детство»</w:t>
            </w:r>
          </w:p>
        </w:tc>
      </w:tr>
      <w:tr>
        <w:tc>
          <w:tcPr>
            <w:tcW w:type="dxa" w:w="39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8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6"/>
              </w:rPr>
              <w:t>Приглашенные:</w:t>
            </w:r>
          </w:p>
          <w:p w14:paraId="8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Коткина Ирина Валентиновна</w:t>
            </w:r>
          </w:p>
        </w:tc>
        <w:tc>
          <w:tcPr>
            <w:tcW w:type="dxa" w:w="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8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8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–</w:t>
            </w:r>
          </w:p>
        </w:tc>
        <w:tc>
          <w:tcPr>
            <w:tcW w:type="dxa" w:w="4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8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8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главный консультант комитета культуры </w:t>
            </w:r>
          </w:p>
          <w:p w14:paraId="8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Департамента образования, культуры </w:t>
            </w:r>
          </w:p>
          <w:p w14:paraId="8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 спорта Ненецкого автономного округа</w:t>
            </w:r>
          </w:p>
        </w:tc>
      </w:tr>
      <w:tr>
        <w:tc>
          <w:tcPr>
            <w:tcW w:type="dxa" w:w="39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8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Коткин Евгений Александрович</w:t>
            </w:r>
          </w:p>
        </w:tc>
        <w:tc>
          <w:tcPr>
            <w:tcW w:type="dxa" w:w="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9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–</w:t>
            </w:r>
          </w:p>
        </w:tc>
        <w:tc>
          <w:tcPr>
            <w:tcW w:type="dxa" w:w="4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</w:p>
          <w:p w14:paraId="9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ведущий консультант отдела общего образования управления образования Департамента образования, культуры </w:t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и спорта Ненецкого автономного округа</w:t>
            </w:r>
          </w:p>
        </w:tc>
      </w:tr>
    </w:tbl>
    <w:p w14:paraId="93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</w:t>
      </w:r>
    </w:p>
    <w:p w14:paraId="94000000">
      <w:pPr>
        <w:pStyle w:val="Style_2"/>
        <w:widowControl w:val="1"/>
        <w:ind/>
        <w:jc w:val="both"/>
        <w:rPr>
          <w:rFonts w:ascii="Times New Roman" w:hAnsi="Times New Roman"/>
          <w:sz w:val="26"/>
        </w:rPr>
      </w:pPr>
    </w:p>
    <w:p w14:paraId="95000000">
      <w:pPr>
        <w:pStyle w:val="Style_2"/>
        <w:rPr>
          <w:rFonts w:ascii="Times New Roman" w:hAnsi="Times New Roman"/>
          <w:sz w:val="26"/>
        </w:rPr>
      </w:pPr>
      <w:r>
        <w:br w:type="page"/>
      </w:r>
    </w:p>
    <w:p w14:paraId="96000000">
      <w:pPr>
        <w:pStyle w:val="Style_2"/>
        <w:widowControl w:val="1"/>
        <w:spacing w:after="0" w:before="0" w:line="240" w:lineRule="auto"/>
        <w:ind w:firstLine="0" w:left="4536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2</w:t>
      </w:r>
    </w:p>
    <w:p w14:paraId="97000000">
      <w:pPr>
        <w:pStyle w:val="Style_2"/>
        <w:widowControl w:val="1"/>
        <w:spacing w:after="0" w:before="0" w:line="240" w:lineRule="auto"/>
        <w:ind w:firstLine="0" w:left="4536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протоколу заседания общественного совета по независимой оценке качества условий оказания услуг организациями культуры и образования Ненецкого автономного округа от 18.11.2025 № 2</w:t>
      </w:r>
    </w:p>
    <w:p w14:paraId="98000000">
      <w:pPr>
        <w:pStyle w:val="Style_2"/>
        <w:widowControl w:val="1"/>
        <w:spacing w:after="0" w:before="0" w:line="240" w:lineRule="auto"/>
        <w:ind w:firstLine="0" w:left="4536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</w:t>
      </w:r>
    </w:p>
    <w:p w14:paraId="99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9A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Сводный рейтинг </w:t>
      </w:r>
    </w:p>
    <w:p w14:paraId="9B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организаций культуры и образования</w:t>
      </w:r>
    </w:p>
    <w:p w14:paraId="9C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Ненецкого автономного округа по результатам </w:t>
      </w:r>
    </w:p>
    <w:p w14:paraId="9D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независимой оценки качества условий оказания услуг в 2025 году</w:t>
      </w:r>
    </w:p>
    <w:p w14:paraId="9E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5"/>
        <w:gridCol w:w="7655"/>
        <w:gridCol w:w="993"/>
      </w:tblGrid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№ 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п/п</w:t>
            </w:r>
          </w:p>
          <w:p w14:paraId="A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Наименование организации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Баллы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br/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0–100</w:t>
            </w:r>
          </w:p>
        </w:tc>
      </w:tr>
      <w:tr>
        <w:tc>
          <w:tcPr>
            <w:tcW w:type="dxa" w:w="9493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Образование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«Детский сад «Ромашка»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96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left="34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общеобразовательное учреждение Ненецкого автономного округа «Детский сад с. Тельвиска»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94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общеобразовательное учреждение Ненецкого автономного округа «Основная школа с. Коткино имени Н.Н. Змывалова»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94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«Умка»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91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Государственное бюджетное общеобразовательное учреждение Ненецкого автономного округа «Средняя школа № 4 г. Нарьян-Мара </w:t>
            </w:r>
          </w:p>
          <w:p w14:paraId="B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 углубленным изучением отдельных предметов»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91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общеобразовательное учреждение Ненецкого автономного округа «Средняя школа с. Несь»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90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«Детский сад п. Нельмин-Нос»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88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«Детский сад п. Усть-Кара»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87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«Детский сад п. Каратайка»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87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«Детский сад с. Нижняя Пёша»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86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общеобразовательное учреждение Ненецкого автономного округа «Основная школа п. Усть-Кара»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86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общеобразовательное учреждение Ненецкого автономного округа «Средняя школа п. Индига»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86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«Детский сад п. Харута»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85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общеобразовательное учреждение Ненецкого автономного округа «Основная школа п. Амдерма»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83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firstLine="0" w:left="34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общеобразовательное учреждение Ненецкого автономного округа «Средняя школа имени А.А. Калинина с. Нижняя Пёша»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80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hanging="77" w:left="36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«Детский сад п. Индига»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79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hanging="360" w:left="36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дошкольное образовательное учреждение Ненецкого автономного округа «Детский сад п. Красное»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78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4"/>
              <w:widowControl w:val="1"/>
              <w:numPr>
                <w:ilvl w:val="0"/>
                <w:numId w:val="6"/>
              </w:numPr>
              <w:spacing w:after="0" w:before="0" w:line="240" w:lineRule="auto"/>
              <w:ind w:hanging="360" w:left="360" w:right="0"/>
              <w:contextualSpacing w:val="1"/>
              <w:jc w:val="center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общеобразовательное учреждение Ненецкого автономного округа «Средняя школа с. Оксино»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70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4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340" w:right="340"/>
              <w:contextualSpacing w:val="1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Среднее значение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85</w:t>
            </w:r>
          </w:p>
        </w:tc>
      </w:tr>
      <w:tr>
        <w:tc>
          <w:tcPr>
            <w:tcW w:type="dxa" w:w="9493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Культура 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4"/>
              <w:widowControl w:val="1"/>
              <w:numPr>
                <w:ilvl w:val="0"/>
                <w:numId w:val="7"/>
              </w:numPr>
              <w:spacing w:after="0" w:before="0" w:line="240" w:lineRule="auto"/>
              <w:ind w:hanging="360" w:left="720" w:right="0"/>
              <w:contextualSpacing w:val="1"/>
              <w:jc w:val="center"/>
              <w:rPr>
                <w:rFonts w:ascii="XO Thames" w:hAnsi="XO Thames"/>
                <w:color w:val="000000"/>
                <w:sz w:val="24"/>
              </w:rPr>
            </w:pPr>
          </w:p>
        </w:tc>
        <w:tc>
          <w:tcPr>
            <w:tcW w:type="dxa" w:w="76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учреждение культуры Ненецкого автономного округа «Культурный центр имени А.С. Савинковой»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95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4"/>
              <w:widowControl w:val="1"/>
              <w:numPr>
                <w:ilvl w:val="0"/>
                <w:numId w:val="7"/>
              </w:numPr>
              <w:spacing w:after="0" w:before="0" w:line="240" w:lineRule="auto"/>
              <w:ind w:hanging="360" w:left="720" w:right="0"/>
              <w:contextualSpacing w:val="1"/>
              <w:jc w:val="center"/>
              <w:rPr>
                <w:rFonts w:ascii="XO Thames" w:hAnsi="XO Thames"/>
                <w:color w:val="00000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учреждение культуры «Музейное объединение Ненецкого автономного округа»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94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4"/>
              <w:widowControl w:val="1"/>
              <w:numPr>
                <w:ilvl w:val="0"/>
                <w:numId w:val="7"/>
              </w:numPr>
              <w:spacing w:after="0" w:before="0" w:line="240" w:lineRule="auto"/>
              <w:ind w:hanging="360" w:left="720" w:right="0"/>
              <w:contextualSpacing w:val="1"/>
              <w:jc w:val="center"/>
              <w:rPr>
                <w:rFonts w:ascii="XO Thames" w:hAnsi="XO Thames"/>
                <w:color w:val="00000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учреждение культуры Ненецкого автономного округа «Дом культуры п. Каратайка»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93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4"/>
              <w:widowControl w:val="1"/>
              <w:numPr>
                <w:ilvl w:val="0"/>
                <w:numId w:val="7"/>
              </w:numPr>
              <w:spacing w:after="0" w:before="0" w:line="240" w:lineRule="auto"/>
              <w:ind w:hanging="360" w:left="720" w:right="0"/>
              <w:contextualSpacing w:val="1"/>
              <w:jc w:val="center"/>
              <w:rPr>
                <w:rFonts w:ascii="XO Thames" w:hAnsi="XO Thames"/>
                <w:color w:val="00000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учреждение культуры Ненецкого автономного округа «Дом культуры п. Бугрино»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89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4"/>
              <w:widowControl w:val="1"/>
              <w:numPr>
                <w:ilvl w:val="0"/>
                <w:numId w:val="7"/>
              </w:numPr>
              <w:spacing w:after="0" w:before="0" w:line="240" w:lineRule="auto"/>
              <w:ind w:hanging="360" w:left="720" w:right="0"/>
              <w:contextualSpacing w:val="1"/>
              <w:jc w:val="center"/>
              <w:rPr>
                <w:rFonts w:ascii="XO Thames" w:hAnsi="XO Thames"/>
                <w:color w:val="00000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учреждение культуры Ненецкого автономного округа «Несский Дом народного творчества»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89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4"/>
              <w:widowControl w:val="1"/>
              <w:numPr>
                <w:ilvl w:val="0"/>
                <w:numId w:val="7"/>
              </w:numPr>
              <w:spacing w:after="0" w:before="0" w:line="240" w:lineRule="auto"/>
              <w:ind w:hanging="360" w:left="720" w:right="0"/>
              <w:contextualSpacing w:val="1"/>
              <w:jc w:val="center"/>
              <w:rPr>
                <w:rFonts w:ascii="XO Thames" w:hAnsi="XO Thames"/>
                <w:color w:val="00000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учреждение культуры Ненецкого автономного округа «Омский центральный Дом культуры»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89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4"/>
              <w:widowControl w:val="1"/>
              <w:numPr>
                <w:ilvl w:val="0"/>
                <w:numId w:val="7"/>
              </w:numPr>
              <w:spacing w:after="0" w:before="0" w:line="240" w:lineRule="auto"/>
              <w:ind w:hanging="360" w:left="720" w:right="0"/>
              <w:contextualSpacing w:val="1"/>
              <w:jc w:val="center"/>
              <w:rPr>
                <w:rFonts w:ascii="XO Thames" w:hAnsi="XO Thames"/>
                <w:color w:val="00000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widowControl w:val="1"/>
              <w:spacing w:after="0" w:before="0" w:line="276" w:lineRule="auto"/>
              <w:ind w:firstLine="0" w:left="0" w:right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Государственное бюджетное учреждение культуры Ненецкого автономного округа «Тиманский центральный Дом культуры»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89</w:t>
            </w:r>
          </w:p>
        </w:tc>
      </w:tr>
      <w:tr>
        <w:tc>
          <w:tcPr>
            <w:tcW w:type="dxa" w:w="84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color w:val="000000"/>
                <w:sz w:val="24"/>
              </w:rPr>
            </w:pPr>
          </w:p>
        </w:tc>
        <w:tc>
          <w:tcPr>
            <w:tcW w:type="dxa" w:w="76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Среднее значение</w:t>
            </w:r>
          </w:p>
        </w:tc>
        <w:tc>
          <w:tcPr>
            <w:tcW w:type="dxa" w:w="99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91</w:t>
            </w:r>
          </w:p>
        </w:tc>
      </w:tr>
    </w:tbl>
    <w:p w14:paraId="F7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p w14:paraId="F8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p w14:paraId="F9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</w:t>
      </w:r>
    </w:p>
    <w:sectPr>
      <w:headerReference r:id="rId1" w:type="default"/>
      <w:type w:val="nextPage"/>
      <w:pgSz w:h="16838" w:orient="portrait" w:w="11906"/>
      <w:pgMar w:bottom="851" w:footer="0" w:gutter="0" w:header="709" w:left="1701" w:right="851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1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4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decimal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decimal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decimal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7" w:type="paragraph">
    <w:name w:val="toc 2"/>
    <w:next w:val="Style_2"/>
    <w:link w:val="Style_7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sPlusNonformat1"/>
    <w:link w:val="Style_11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1_ch" w:type="character">
    <w:name w:val="ConsPlusNonformat1"/>
    <w:link w:val="Style_11"/>
    <w:rPr>
      <w:rFonts w:ascii="Courier New" w:hAnsi="Courier New"/>
      <w:color w:val="000000"/>
      <w:spacing w:val="0"/>
      <w:sz w:val="20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Колонтитул"/>
    <w:link w:val="Style_14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4_ch" w:type="character">
    <w:name w:val="Колонтитул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No Spacing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No Spacing1"/>
    <w:link w:val="Style_15"/>
    <w:rPr>
      <w:rFonts w:asciiTheme="minorAscii" w:hAnsiTheme="minorHAnsi"/>
      <w:color w:val="000000"/>
      <w:spacing w:val="0"/>
      <w:sz w:val="22"/>
    </w:rPr>
  </w:style>
  <w:style w:styleId="Style_16" w:type="paragraph">
    <w:name w:val="Body Text Indent 31"/>
    <w:basedOn w:val="Style_2"/>
    <w:link w:val="Style_16_ch"/>
    <w:pPr>
      <w:widowControl w:val="1"/>
      <w:spacing w:after="120" w:before="0"/>
      <w:ind w:left="283"/>
    </w:pPr>
    <w:rPr>
      <w:sz w:val="16"/>
    </w:rPr>
  </w:style>
  <w:style w:styleId="Style_16_ch" w:type="character">
    <w:name w:val="Body Text Indent 31"/>
    <w:basedOn w:val="Style_2_ch"/>
    <w:link w:val="Style_16"/>
    <w:rPr>
      <w:sz w:val="16"/>
    </w:rPr>
  </w:style>
  <w:style w:styleId="Style_17" w:type="paragraph">
    <w:name w:val="Contents 9"/>
    <w:link w:val="Style_17_ch"/>
    <w:rPr>
      <w:rFonts w:ascii="XO Thames" w:hAnsi="XO Thames"/>
      <w:sz w:val="28"/>
    </w:rPr>
  </w:style>
  <w:style w:styleId="Style_17_ch" w:type="character">
    <w:name w:val="Contents 9"/>
    <w:link w:val="Style_17"/>
    <w:rPr>
      <w:rFonts w:ascii="XO Thames" w:hAnsi="XO Thames"/>
      <w:sz w:val="28"/>
    </w:rPr>
  </w:style>
  <w:style w:styleId="Style_18" w:type="paragraph">
    <w:name w:val="Title1"/>
    <w:link w:val="Style_18_ch"/>
    <w:rPr>
      <w:rFonts w:ascii="XO Thames" w:hAnsi="XO Thames"/>
      <w:b w:val="1"/>
      <w:caps w:val="1"/>
      <w:sz w:val="40"/>
    </w:rPr>
  </w:style>
  <w:style w:styleId="Style_18_ch" w:type="character">
    <w:name w:val="Title1"/>
    <w:link w:val="Style_18"/>
    <w:rPr>
      <w:rFonts w:ascii="XO Thames" w:hAnsi="XO Thames"/>
      <w:b w:val="1"/>
      <w:caps w:val="1"/>
      <w:sz w:val="40"/>
    </w:rPr>
  </w:style>
  <w:style w:styleId="Style_19" w:type="paragraph">
    <w:name w:val="Указатель"/>
    <w:basedOn w:val="Style_2"/>
    <w:link w:val="Style_19_ch"/>
    <w:rPr>
      <w:rFonts w:ascii="PT Astra Serif" w:hAnsi="PT Astra Serif"/>
    </w:rPr>
  </w:style>
  <w:style w:styleId="Style_19_ch" w:type="character">
    <w:name w:val="Указатель"/>
    <w:basedOn w:val="Style_2_ch"/>
    <w:link w:val="Style_19"/>
    <w:rPr>
      <w:rFonts w:ascii="PT Astra Serif" w:hAnsi="PT Astra Serif"/>
    </w:rPr>
  </w:style>
  <w:style w:styleId="Style_4" w:type="paragraph">
    <w:name w:val="List Paragraph1"/>
    <w:basedOn w:val="Style_2"/>
    <w:link w:val="Style_4_ch"/>
    <w:pPr>
      <w:widowControl w:val="1"/>
      <w:spacing w:after="200" w:before="0"/>
      <w:ind w:left="720"/>
      <w:contextualSpacing w:val="1"/>
    </w:pPr>
  </w:style>
  <w:style w:styleId="Style_4_ch" w:type="character">
    <w:name w:val="List Paragraph1"/>
    <w:basedOn w:val="Style_2_ch"/>
    <w:link w:val="Style_4"/>
  </w:style>
  <w:style w:styleId="Style_20" w:type="paragraph">
    <w:name w:val="Endnote1"/>
    <w:link w:val="Style_20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Endnote1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Contents 4"/>
    <w:link w:val="Style_21_ch"/>
    <w:rPr>
      <w:rFonts w:ascii="XO Thames" w:hAnsi="XO Thames"/>
      <w:sz w:val="28"/>
    </w:rPr>
  </w:style>
  <w:style w:styleId="Style_21_ch" w:type="character">
    <w:name w:val="Contents 4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Footer1"/>
    <w:link w:val="Style_23_ch"/>
  </w:style>
  <w:style w:styleId="Style_23_ch" w:type="character">
    <w:name w:val="Footer1"/>
    <w:link w:val="Style_23"/>
  </w:style>
  <w:style w:styleId="Style_24" w:type="paragraph">
    <w:name w:val="toc 3"/>
    <w:next w:val="Style_2"/>
    <w:link w:val="Style_24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sPlusTitlePage1"/>
    <w:basedOn w:val="Style_2"/>
    <w:link w:val="Style_25_ch"/>
    <w:pPr>
      <w:widowControl w:val="1"/>
      <w:spacing w:after="0" w:before="0" w:line="240" w:lineRule="auto"/>
      <w:ind/>
    </w:pPr>
    <w:rPr>
      <w:rFonts w:ascii="Tahoma" w:hAnsi="Tahoma"/>
      <w:sz w:val="20"/>
    </w:rPr>
  </w:style>
  <w:style w:styleId="Style_25_ch" w:type="character">
    <w:name w:val="ConsPlusTitlePage1"/>
    <w:basedOn w:val="Style_2_ch"/>
    <w:link w:val="Style_25"/>
    <w:rPr>
      <w:rFonts w:ascii="Tahoma" w:hAnsi="Tahoma"/>
      <w:sz w:val="20"/>
    </w:rPr>
  </w:style>
  <w:style w:styleId="Style_26" w:type="paragraph">
    <w:name w:val="Footnote1"/>
    <w:link w:val="Style_2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6_ch" w:type="character">
    <w:name w:val="Footnote1"/>
    <w:link w:val="Style_26"/>
    <w:rPr>
      <w:rFonts w:ascii="XO Thames" w:hAnsi="XO Thames"/>
      <w:color w:val="000000"/>
      <w:spacing w:val="0"/>
      <w:sz w:val="22"/>
    </w:rPr>
  </w:style>
  <w:style w:styleId="Style_27" w:type="paragraph">
    <w:name w:val="Subtitle1"/>
    <w:link w:val="Style_27_ch"/>
    <w:rPr>
      <w:rFonts w:ascii="XO Thames" w:hAnsi="XO Thames"/>
      <w:i w:val="1"/>
      <w:sz w:val="24"/>
    </w:rPr>
  </w:style>
  <w:style w:styleId="Style_27_ch" w:type="character">
    <w:name w:val="Subtitle1"/>
    <w:link w:val="Style_27"/>
    <w:rPr>
      <w:rFonts w:ascii="XO Thames" w:hAnsi="XO Thames"/>
      <w:i w:val="1"/>
      <w:sz w:val="24"/>
    </w:rPr>
  </w:style>
  <w:style w:styleId="Style_28" w:type="paragraph">
    <w:name w:val="Heading 31"/>
    <w:link w:val="Style_28_ch"/>
    <w:rPr>
      <w:rFonts w:ascii="XO Thames" w:hAnsi="XO Thames"/>
      <w:b w:val="1"/>
      <w:sz w:val="26"/>
    </w:rPr>
  </w:style>
  <w:style w:styleId="Style_28_ch" w:type="character">
    <w:name w:val="Heading 31"/>
    <w:link w:val="Style_28"/>
    <w:rPr>
      <w:rFonts w:ascii="XO Thames" w:hAnsi="XO Thames"/>
      <w:b w:val="1"/>
      <w:sz w:val="26"/>
    </w:rPr>
  </w:style>
  <w:style w:styleId="Style_29" w:type="paragraph">
    <w:name w:val="Заголовок"/>
    <w:basedOn w:val="Style_2"/>
    <w:next w:val="Style_6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2_ch"/>
    <w:link w:val="Style_29"/>
    <w:rPr>
      <w:rFonts w:ascii="PT Astra Serif" w:hAnsi="PT Astra Serif"/>
      <w:sz w:val="28"/>
    </w:rPr>
  </w:style>
  <w:style w:styleId="Style_30" w:type="paragraph">
    <w:name w:val="heading 5"/>
    <w:next w:val="Style_2"/>
    <w:link w:val="Style_3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0_ch" w:type="character">
    <w:name w:val="heading 5"/>
    <w:link w:val="Style_30"/>
    <w:rPr>
      <w:rFonts w:ascii="XO Thames" w:hAnsi="XO Thames"/>
      <w:b w:val="1"/>
      <w:color w:val="000000"/>
      <w:spacing w:val="0"/>
      <w:sz w:val="22"/>
    </w:rPr>
  </w:style>
  <w:style w:styleId="Style_31" w:type="paragraph">
    <w:name w:val="Heading 41"/>
    <w:link w:val="Style_31_ch"/>
    <w:rPr>
      <w:rFonts w:ascii="XO Thames" w:hAnsi="XO Thames"/>
      <w:b w:val="1"/>
      <w:sz w:val="24"/>
    </w:rPr>
  </w:style>
  <w:style w:styleId="Style_31_ch" w:type="character">
    <w:name w:val="Heading 41"/>
    <w:link w:val="Style_31"/>
    <w:rPr>
      <w:rFonts w:ascii="XO Thames" w:hAnsi="XO Thames"/>
      <w:b w:val="1"/>
      <w:sz w:val="24"/>
    </w:rPr>
  </w:style>
  <w:style w:styleId="Style_6" w:type="paragraph">
    <w:name w:val="Body Text"/>
    <w:basedOn w:val="Style_2"/>
    <w:link w:val="Style_6_ch"/>
    <w:pPr>
      <w:widowControl w:val="1"/>
      <w:spacing w:after="120" w:before="0" w:line="240" w:lineRule="auto"/>
      <w:ind/>
    </w:pPr>
    <w:rPr>
      <w:rFonts w:ascii="Times New Roman" w:hAnsi="Times New Roman"/>
      <w:sz w:val="20"/>
    </w:rPr>
  </w:style>
  <w:style w:styleId="Style_6_ch" w:type="character">
    <w:name w:val="Body Text"/>
    <w:basedOn w:val="Style_2_ch"/>
    <w:link w:val="Style_6"/>
    <w:rPr>
      <w:rFonts w:ascii="Times New Roman" w:hAnsi="Times New Roman"/>
      <w:sz w:val="20"/>
    </w:rPr>
  </w:style>
  <w:style w:styleId="Style_32" w:type="paragraph">
    <w:name w:val="Heading 11"/>
    <w:link w:val="Style_32_ch"/>
    <w:rPr>
      <w:rFonts w:ascii="XO Thames" w:hAnsi="XO Thames"/>
      <w:b w:val="1"/>
      <w:sz w:val="32"/>
    </w:rPr>
  </w:style>
  <w:style w:styleId="Style_32_ch" w:type="character">
    <w:name w:val="Heading 11"/>
    <w:link w:val="Style_32"/>
    <w:rPr>
      <w:rFonts w:ascii="XO Thames" w:hAnsi="XO Thames"/>
      <w:b w:val="1"/>
      <w:sz w:val="32"/>
    </w:rPr>
  </w:style>
  <w:style w:styleId="Style_33" w:type="paragraph">
    <w:name w:val="Contents 2"/>
    <w:link w:val="Style_33_ch"/>
    <w:rPr>
      <w:rFonts w:ascii="XO Thames" w:hAnsi="XO Thames"/>
      <w:sz w:val="28"/>
    </w:rPr>
  </w:style>
  <w:style w:styleId="Style_33_ch" w:type="character">
    <w:name w:val="Contents 2"/>
    <w:link w:val="Style_33"/>
    <w:rPr>
      <w:rFonts w:ascii="XO Thames" w:hAnsi="XO Thames"/>
      <w:sz w:val="28"/>
    </w:rPr>
  </w:style>
  <w:style w:styleId="Style_34" w:type="paragraph">
    <w:name w:val="heading 1"/>
    <w:next w:val="Style_2"/>
    <w:link w:val="Style_3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4_ch" w:type="character">
    <w:name w:val="heading 1"/>
    <w:link w:val="Style_34"/>
    <w:rPr>
      <w:rFonts w:ascii="XO Thames" w:hAnsi="XO Thames"/>
      <w:b w:val="1"/>
      <w:color w:val="000000"/>
      <w:spacing w:val="0"/>
      <w:sz w:val="32"/>
    </w:rPr>
  </w:style>
  <w:style w:styleId="Style_35" w:type="paragraph">
    <w:name w:val="Caption"/>
    <w:basedOn w:val="Style_2"/>
    <w:link w:val="Style_3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5_ch" w:type="character">
    <w:name w:val="Caption"/>
    <w:basedOn w:val="Style_2_ch"/>
    <w:link w:val="Style_35"/>
    <w:rPr>
      <w:rFonts w:ascii="PT Astra Serif" w:hAnsi="PT Astra Serif"/>
      <w:i w:val="1"/>
      <w:sz w:val="24"/>
    </w:rPr>
  </w:style>
  <w:style w:styleId="Style_36" w:type="paragraph">
    <w:name w:val="Contents 3"/>
    <w:link w:val="Style_36_ch"/>
    <w:rPr>
      <w:rFonts w:ascii="XO Thames" w:hAnsi="XO Thames"/>
      <w:sz w:val="28"/>
    </w:rPr>
  </w:style>
  <w:style w:styleId="Style_36_ch" w:type="character">
    <w:name w:val="Contents 3"/>
    <w:link w:val="Style_36"/>
    <w:rPr>
      <w:rFonts w:ascii="XO Thames" w:hAnsi="XO Thames"/>
      <w:sz w:val="28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2"/>
    <w:link w:val="Style_39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Header and Footer"/>
    <w:link w:val="Style_40_ch"/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Contents 7"/>
    <w:link w:val="Style_41_ch"/>
    <w:rPr>
      <w:rFonts w:ascii="XO Thames" w:hAnsi="XO Thames"/>
      <w:sz w:val="28"/>
    </w:rPr>
  </w:style>
  <w:style w:styleId="Style_41_ch" w:type="character">
    <w:name w:val="Contents 7"/>
    <w:link w:val="Style_41"/>
    <w:rPr>
      <w:rFonts w:ascii="XO Thames" w:hAnsi="XO Thames"/>
      <w:sz w:val="28"/>
    </w:rPr>
  </w:style>
  <w:style w:styleId="Style_42" w:type="paragraph">
    <w:name w:val="Balloon Text1"/>
    <w:basedOn w:val="Style_2"/>
    <w:link w:val="Style_42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42_ch" w:type="character">
    <w:name w:val="Balloon Text1"/>
    <w:basedOn w:val="Style_2_ch"/>
    <w:link w:val="Style_42"/>
    <w:rPr>
      <w:rFonts w:ascii="Segoe UI" w:hAnsi="Segoe UI"/>
      <w:sz w:val="18"/>
    </w:rPr>
  </w:style>
  <w:style w:styleId="Style_43" w:type="paragraph">
    <w:name w:val="toc 9"/>
    <w:next w:val="Style_2"/>
    <w:link w:val="Style_43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9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List"/>
    <w:basedOn w:val="Style_6"/>
    <w:link w:val="Style_44_ch"/>
    <w:rPr>
      <w:rFonts w:ascii="PT Astra Serif" w:hAnsi="PT Astra Serif"/>
    </w:rPr>
  </w:style>
  <w:style w:styleId="Style_44_ch" w:type="character">
    <w:name w:val="List"/>
    <w:basedOn w:val="Style_6_ch"/>
    <w:link w:val="Style_44"/>
    <w:rPr>
      <w:rFonts w:ascii="PT Astra Serif" w:hAnsi="PT Astra Serif"/>
    </w:rPr>
  </w:style>
  <w:style w:styleId="Style_45" w:type="paragraph">
    <w:name w:val="Contents 5"/>
    <w:link w:val="Style_45_ch"/>
    <w:rPr>
      <w:rFonts w:ascii="XO Thames" w:hAnsi="XO Thames"/>
      <w:sz w:val="28"/>
    </w:rPr>
  </w:style>
  <w:style w:styleId="Style_45_ch" w:type="character">
    <w:name w:val="Contents 5"/>
    <w:link w:val="Style_45"/>
    <w:rPr>
      <w:rFonts w:ascii="XO Thames" w:hAnsi="XO Thames"/>
      <w:sz w:val="28"/>
    </w:rPr>
  </w:style>
  <w:style w:styleId="Style_46" w:type="paragraph">
    <w:name w:val="toc 8"/>
    <w:next w:val="Style_2"/>
    <w:link w:val="Style_46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8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Header1"/>
    <w:link w:val="Style_47_ch"/>
  </w:style>
  <w:style w:styleId="Style_47_ch" w:type="character">
    <w:name w:val="Header1"/>
    <w:link w:val="Style_47"/>
  </w:style>
  <w:style w:styleId="Style_48" w:type="paragraph">
    <w:name w:val="Internet link"/>
    <w:link w:val="Style_4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8_ch" w:type="character">
    <w:name w:val="Internet link"/>
    <w:link w:val="Style_48"/>
    <w:rPr>
      <w:rFonts w:ascii="Calibri" w:hAnsi="Calibri"/>
      <w:color w:val="0000FF"/>
      <w:spacing w:val="0"/>
      <w:sz w:val="22"/>
      <w:u w:val="single"/>
    </w:rPr>
  </w:style>
  <w:style w:styleId="Style_49" w:type="paragraph">
    <w:name w:val="toc 5"/>
    <w:next w:val="Style_2"/>
    <w:link w:val="Style_4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5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Heading 21"/>
    <w:link w:val="Style_50_ch"/>
    <w:rPr>
      <w:rFonts w:ascii="XO Thames" w:hAnsi="XO Thames"/>
      <w:b w:val="1"/>
      <w:sz w:val="28"/>
    </w:rPr>
  </w:style>
  <w:style w:styleId="Style_50_ch" w:type="character">
    <w:name w:val="Heading 21"/>
    <w:link w:val="Style_50"/>
    <w:rPr>
      <w:rFonts w:ascii="XO Thames" w:hAnsi="XO Thames"/>
      <w:b w:val="1"/>
      <w:sz w:val="28"/>
    </w:rPr>
  </w:style>
  <w:style w:styleId="Style_51" w:type="paragraph">
    <w:name w:val="Default Paragraph Font1"/>
    <w:link w:val="Style_51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1_ch" w:type="character">
    <w:name w:val="Default Paragraph Font1"/>
    <w:link w:val="Style_51"/>
    <w:rPr>
      <w:rFonts w:asciiTheme="minorAscii" w:hAnsiTheme="minorHAnsi"/>
      <w:color w:val="000000"/>
      <w:spacing w:val="0"/>
      <w:sz w:val="22"/>
    </w:rPr>
  </w:style>
  <w:style w:styleId="Style_52" w:type="paragraph">
    <w:name w:val="Heading 51"/>
    <w:link w:val="Style_52_ch"/>
    <w:rPr>
      <w:rFonts w:ascii="XO Thames" w:hAnsi="XO Thames"/>
      <w:b w:val="1"/>
      <w:sz w:val="22"/>
    </w:rPr>
  </w:style>
  <w:style w:styleId="Style_52_ch" w:type="character">
    <w:name w:val="Heading 51"/>
    <w:link w:val="Style_52"/>
    <w:rPr>
      <w:rFonts w:ascii="XO Thames" w:hAnsi="XO Thames"/>
      <w:b w:val="1"/>
      <w:sz w:val="22"/>
    </w:rPr>
  </w:style>
  <w:style w:styleId="Style_53" w:type="paragraph">
    <w:name w:val="Contents 8"/>
    <w:link w:val="Style_53_ch"/>
    <w:rPr>
      <w:rFonts w:ascii="XO Thames" w:hAnsi="XO Thames"/>
      <w:sz w:val="28"/>
    </w:rPr>
  </w:style>
  <w:style w:styleId="Style_53_ch" w:type="character">
    <w:name w:val="Contents 8"/>
    <w:link w:val="Style_53"/>
    <w:rPr>
      <w:rFonts w:ascii="XO Thames" w:hAnsi="XO Thames"/>
      <w:sz w:val="28"/>
    </w:rPr>
  </w:style>
  <w:style w:styleId="Style_5" w:type="paragraph">
    <w:name w:val="Default1"/>
    <w:link w:val="Style_5_ch"/>
    <w:pPr>
      <w:widowControl w:val="1"/>
      <w:spacing w:after="0" w:before="0" w:line="360" w:lineRule="auto"/>
      <w:ind w:firstLine="709" w:left="0" w:right="0"/>
      <w:jc w:val="both"/>
    </w:pPr>
    <w:rPr>
      <w:rFonts w:ascii="Franklin Gothic Book" w:hAnsi="Franklin Gothic Book"/>
      <w:color w:val="000000"/>
      <w:spacing w:val="0"/>
      <w:sz w:val="24"/>
    </w:rPr>
  </w:style>
  <w:style w:styleId="Style_5_ch" w:type="character">
    <w:name w:val="Default1"/>
    <w:link w:val="Style_5"/>
    <w:rPr>
      <w:rFonts w:ascii="Franklin Gothic Book" w:hAnsi="Franklin Gothic Book"/>
      <w:color w:val="000000"/>
      <w:spacing w:val="0"/>
      <w:sz w:val="24"/>
    </w:rPr>
  </w:style>
  <w:style w:styleId="Style_54" w:type="paragraph">
    <w:name w:val="Subtitle"/>
    <w:next w:val="Style_2"/>
    <w:link w:val="Style_54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Text body"/>
    <w:link w:val="Style_55_ch"/>
    <w:rPr>
      <w:rFonts w:ascii="Times New Roman" w:hAnsi="Times New Roman"/>
      <w:sz w:val="20"/>
    </w:rPr>
  </w:style>
  <w:style w:styleId="Style_55_ch" w:type="character">
    <w:name w:val="Text body"/>
    <w:link w:val="Style_55"/>
    <w:rPr>
      <w:rFonts w:ascii="Times New Roman" w:hAnsi="Times New Roman"/>
      <w:sz w:val="20"/>
    </w:rPr>
  </w:style>
  <w:style w:styleId="Style_56" w:type="paragraph">
    <w:name w:val="Contents 6"/>
    <w:link w:val="Style_56_ch"/>
    <w:rPr>
      <w:rFonts w:ascii="XO Thames" w:hAnsi="XO Thames"/>
      <w:sz w:val="28"/>
    </w:rPr>
  </w:style>
  <w:style w:styleId="Style_56_ch" w:type="character">
    <w:name w:val="Contents 6"/>
    <w:link w:val="Style_56"/>
    <w:rPr>
      <w:rFonts w:ascii="XO Thames" w:hAnsi="XO Thames"/>
      <w:sz w:val="28"/>
    </w:rPr>
  </w:style>
  <w:style w:styleId="Style_57" w:type="paragraph">
    <w:name w:val="Title"/>
    <w:next w:val="Style_2"/>
    <w:link w:val="Style_57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color w:val="000000"/>
      <w:spacing w:val="0"/>
      <w:sz w:val="40"/>
    </w:rPr>
  </w:style>
  <w:style w:styleId="Style_58" w:type="paragraph">
    <w:name w:val="Символ нумерации"/>
    <w:link w:val="Style_58_ch"/>
  </w:style>
  <w:style w:styleId="Style_58_ch" w:type="character">
    <w:name w:val="Символ нумерации"/>
    <w:link w:val="Style_58"/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59" w:type="paragraph">
    <w:name w:val="heading 4"/>
    <w:next w:val="Style_2"/>
    <w:link w:val="Style_5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9_ch" w:type="character">
    <w:name w:val="heading 4"/>
    <w:link w:val="Style_59"/>
    <w:rPr>
      <w:rFonts w:ascii="XO Thames" w:hAnsi="XO Thames"/>
      <w:b w:val="1"/>
      <w:color w:val="000000"/>
      <w:spacing w:val="0"/>
      <w:sz w:val="24"/>
    </w:rPr>
  </w:style>
  <w:style w:styleId="Style_60" w:type="paragraph">
    <w:name w:val="Contents 1"/>
    <w:link w:val="Style_60_ch"/>
    <w:rPr>
      <w:rFonts w:ascii="XO Thames" w:hAnsi="XO Thames"/>
      <w:b w:val="1"/>
      <w:sz w:val="28"/>
    </w:rPr>
  </w:style>
  <w:style w:styleId="Style_60_ch" w:type="character">
    <w:name w:val="Contents 1"/>
    <w:link w:val="Style_60"/>
    <w:rPr>
      <w:rFonts w:ascii="XO Thames" w:hAnsi="XO Thames"/>
      <w:b w:val="1"/>
      <w:sz w:val="28"/>
    </w:rPr>
  </w:style>
  <w:style w:styleId="Style_61" w:type="paragraph">
    <w:name w:val="heading 2"/>
    <w:next w:val="Style_2"/>
    <w:link w:val="Style_6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1_ch" w:type="character">
    <w:name w:val="heading 2"/>
    <w:link w:val="Style_61"/>
    <w:rPr>
      <w:rFonts w:ascii="XO Thames" w:hAnsi="XO Thames"/>
      <w:b w:val="1"/>
      <w:color w:val="000000"/>
      <w:spacing w:val="0"/>
      <w:sz w:val="28"/>
    </w:rPr>
  </w:style>
  <w:style w:styleId="Style_3" w:type="table">
    <w:name w:val="Table Grid"/>
    <w:basedOn w:val="Style_6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2024-11-14T12:26:00Z</dcterms:created>
  <dcterms:modified xsi:type="dcterms:W3CDTF">2025-11-18T14:10:50Z</dcterms:modified>
</cp:coreProperties>
</file>