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«Дети Арктики»</w:t>
      </w:r>
      <w:r>
        <w:rPr>
          <w:rFonts w:ascii="Times New Roman" w:hAnsi="Times New Roman"/>
          <w:b w:val="1"/>
          <w:sz w:val="28"/>
        </w:rPr>
        <w:t xml:space="preserve"> 2026 год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 </w:t>
      </w:r>
      <w:r>
        <w:rPr>
          <w:rFonts w:ascii="Times New Roman" w:hAnsi="Times New Roman"/>
          <w:sz w:val="28"/>
        </w:rPr>
        <w:t xml:space="preserve">Министерством Российской Федерации </w:t>
      </w:r>
      <w:r>
        <w:rPr>
          <w:rFonts w:ascii="Times New Roman" w:hAnsi="Times New Roman"/>
          <w:sz w:val="28"/>
        </w:rPr>
        <w:t xml:space="preserve">по развитию Дальнего Востока и Арктики </w:t>
      </w:r>
      <w:r>
        <w:rPr>
          <w:rFonts w:ascii="Times New Roman" w:hAnsi="Times New Roman"/>
          <w:sz w:val="28"/>
        </w:rPr>
        <w:t xml:space="preserve">и Администрацией Ненецкого автономного округа </w:t>
      </w:r>
      <w:r>
        <w:rPr>
          <w:rFonts w:ascii="Times New Roman" w:hAnsi="Times New Roman"/>
          <w:sz w:val="28"/>
        </w:rPr>
        <w:t xml:space="preserve">заключено соглашение о предоставлении субсидии </w:t>
      </w:r>
      <w:r>
        <w:rPr>
          <w:rFonts w:ascii="Times New Roman" w:hAnsi="Times New Roman"/>
          <w:sz w:val="28"/>
        </w:rPr>
        <w:t xml:space="preserve">из федерального бюджета бюджету Ненецкого автономного округа </w:t>
      </w:r>
      <w:r>
        <w:rPr>
          <w:rFonts w:ascii="Times New Roman" w:hAnsi="Times New Roman"/>
          <w:sz w:val="28"/>
        </w:rPr>
        <w:t>на обеспечение отдыха и оздоровления детей, проживающих в Арктической зоне Российской Федерации.</w:t>
      </w:r>
      <w:r>
        <w:t xml:space="preserve"> </w:t>
      </w: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соглашения осуществляется о</w:t>
      </w:r>
      <w:r>
        <w:rPr>
          <w:rFonts w:ascii="Times New Roman" w:hAnsi="Times New Roman"/>
          <w:sz w:val="28"/>
        </w:rPr>
        <w:t>плат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проезда и приобретение путевок </w:t>
      </w:r>
      <w:r>
        <w:rPr>
          <w:rFonts w:ascii="Times New Roman" w:hAnsi="Times New Roman"/>
          <w:sz w:val="28"/>
        </w:rPr>
        <w:t>за счет средств федерального и окружного бюджета.</w:t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Уполномоченная организация, осуществляющая организацию поездки детей по данному направлению – ГБУ ДО «ДЮЦ «Лидер».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отдыха – </w:t>
      </w:r>
      <w:r>
        <w:rPr>
          <w:rFonts w:ascii="XO Thames" w:hAnsi="XO Thames"/>
          <w:sz w:val="28"/>
        </w:rPr>
        <w:t xml:space="preserve">Черноморском побережье. </w:t>
      </w: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Даты смены (предварительные, возможны изменения) – 01.06.2026-22.06.2026. </w:t>
      </w:r>
    </w:p>
    <w:p w14:paraId="07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Категория детей </w:t>
      </w:r>
      <w:r>
        <w:rPr>
          <w:rFonts w:ascii="XO Thames" w:hAnsi="XO Thames"/>
          <w:spacing w:val="0"/>
          <w:sz w:val="28"/>
        </w:rPr>
        <w:t>–</w:t>
      </w:r>
      <w:r>
        <w:rPr>
          <w:rFonts w:ascii="XO Thames" w:hAnsi="XO Thames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обучающиеся 5-8 классов</w:t>
      </w:r>
      <w:r>
        <w:rPr>
          <w:rFonts w:ascii="XO Thames" w:hAnsi="XO Thames"/>
          <w:sz w:val="28"/>
        </w:rPr>
        <w:t>.</w:t>
      </w:r>
    </w:p>
    <w:p w14:paraId="08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путевок – 97 человек.</w:t>
      </w:r>
    </w:p>
    <w:p w14:paraId="09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начала приема заявок - 1 марта 2026 года.  </w:t>
      </w:r>
    </w:p>
    <w:p w14:paraId="0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окончания приема заявок </w:t>
      </w:r>
      <w:r>
        <w:rPr>
          <w:rFonts w:ascii="XO Thames" w:hAnsi="XO Thames"/>
          <w:spacing w:val="0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1 апреля 2026 года. </w:t>
      </w:r>
    </w:p>
    <w:p w14:paraId="0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Способы подачи документов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1"/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форме электронного документа с использованием портала государственных и муниципальных услуг (функций)</w:t>
      </w:r>
      <w:r>
        <w:rPr>
          <w:rFonts w:ascii="Times New Roman" w:hAnsi="Times New Roman"/>
          <w:sz w:val="28"/>
        </w:rPr>
        <w:t xml:space="preserve"> (ссылка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"https://www.gosuslugi.ru/600173/1/form"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https://www.gosuslugi.ru/600173/1/form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), </w:t>
      </w:r>
    </w:p>
    <w:p w14:paraId="0D000000">
      <w:pPr>
        <w:pStyle w:val="Style_1"/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непосредственно в ДЮЦ «Лидер» (по адресу г. Нарьян-Мар,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Выучейского д. 30) на бумажном носителе посредством личного обращения;</w:t>
      </w:r>
    </w:p>
    <w:p w14:paraId="0E000000">
      <w:pPr>
        <w:pStyle w:val="Style_1"/>
        <w:widowControl w:val="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через многофункциональный центр предоставления государственных и муниципальных услуг. </w:t>
      </w:r>
    </w:p>
    <w:p w14:paraId="0F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Форму заявления </w:t>
      </w:r>
      <w:r>
        <w:rPr>
          <w:rFonts w:ascii="Times New Roman" w:hAnsi="Times New Roman"/>
          <w:sz w:val="28"/>
        </w:rPr>
        <w:t xml:space="preserve">и перечень необходимых документов </w:t>
      </w:r>
      <w:r>
        <w:rPr>
          <w:rFonts w:ascii="Times New Roman" w:hAnsi="Times New Roman"/>
          <w:sz w:val="28"/>
        </w:rPr>
        <w:t xml:space="preserve">можно найти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сайте и странице в социальной сети «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 xml:space="preserve">» детского центра «Лидер», на сайте Департамента образования и спорта Ненецкого автономного округа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color w:val="216BEC"/>
          <w:sz w:val="28"/>
          <w:u w:val="single"/>
        </w:rPr>
        <w:t>https://shorto.ru/DYbAh6</w:t>
      </w:r>
      <w:r>
        <w:rPr>
          <w:rFonts w:ascii="XO Thames" w:hAnsi="XO Thames"/>
          <w:sz w:val="28"/>
        </w:rPr>
        <w:t>)</w:t>
      </w:r>
      <w:r>
        <w:t xml:space="preserve"> </w:t>
      </w:r>
      <w:r>
        <w:rPr>
          <w:rFonts w:ascii="Times New Roman" w:hAnsi="Times New Roman"/>
          <w:sz w:val="28"/>
        </w:rPr>
        <w:t xml:space="preserve">в разделе «Летний отдых» </w:t>
      </w:r>
      <w:r>
        <w:rPr>
          <w:rFonts w:ascii="XO Thames" w:hAnsi="XO Thames"/>
          <w:spacing w:val="0"/>
          <w:sz w:val="28"/>
        </w:rPr>
        <w:t xml:space="preserve">– «Дети Арктики» </w:t>
      </w:r>
      <w:r>
        <w:rPr>
          <w:rFonts w:ascii="XO Thames" w:hAnsi="XO Thames"/>
          <w:spacing w:val="0"/>
          <w:sz w:val="28"/>
        </w:rPr>
        <w:t xml:space="preserve">– файл </w:t>
      </w:r>
      <w:r>
        <w:rPr>
          <w:rFonts w:ascii="XO Thames" w:hAnsi="XO Thames"/>
          <w:spacing w:val="0"/>
          <w:sz w:val="28"/>
        </w:rPr>
        <w:t xml:space="preserve"> </w:t>
      </w:r>
      <w:r>
        <w:rPr>
          <w:rFonts w:ascii="XO Thames" w:hAnsi="XO Thames"/>
          <w:spacing w:val="0"/>
          <w:sz w:val="28"/>
        </w:rPr>
        <w:t>«</w:t>
      </w:r>
      <w:r>
        <w:rPr>
          <w:rFonts w:ascii="XO Thames" w:hAnsi="XO Thames"/>
          <w:sz w:val="28"/>
        </w:rPr>
        <w:t>Заявление_на_предоставлении_путевки»</w:t>
      </w:r>
      <w:r>
        <w:rPr>
          <w:rFonts w:ascii="XO Thames" w:hAnsi="XO Thames"/>
          <w:spacing w:val="0"/>
          <w:sz w:val="28"/>
        </w:rPr>
        <w:t>.</w:t>
      </w:r>
    </w:p>
    <w:p w14:paraId="10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</w:p>
    <w:p w14:paraId="1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</w:p>
    <w:p w14:paraId="16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List Paragraph"/>
    <w:basedOn w:val="Style_3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3"/>
    <w:link w:val="Style_2_ch"/>
    <w:rPr>
      <w:color w:themeColor="hyperlink" w:val="0563C1"/>
      <w:u w:val="single"/>
    </w:rPr>
  </w:style>
  <w:style w:styleId="Style_2_ch" w:type="character">
    <w:name w:val="Hyperlink"/>
    <w:basedOn w:val="Style_13_ch"/>
    <w:link w:val="Style_2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FollowedHyperlink"/>
    <w:basedOn w:val="Style_13"/>
    <w:link w:val="Style_20_ch"/>
    <w:rPr>
      <w:color w:themeColor="followedHyperlink" w:val="954F72"/>
      <w:u w:val="single"/>
    </w:rPr>
  </w:style>
  <w:style w:styleId="Style_20_ch" w:type="character">
    <w:name w:val="FollowedHyperlink"/>
    <w:basedOn w:val="Style_13_ch"/>
    <w:link w:val="Style_20"/>
    <w:rPr>
      <w:color w:themeColor="followedHyperlink" w:val="954F72"/>
      <w:u w:val="single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2022-06-02T11:46:00Z</dcterms:created>
  <dcterms:modified xsi:type="dcterms:W3CDTF">2026-02-27T07:03:11Z</dcterms:modified>
</cp:coreProperties>
</file>